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EB3" w:rsidRPr="005E5EB3" w:rsidRDefault="005E5EB3" w:rsidP="005E5EB3">
      <w:pPr>
        <w:pStyle w:val="1"/>
        <w:spacing w:before="120" w:line="240" w:lineRule="auto"/>
        <w:jc w:val="center"/>
        <w:rPr>
          <w:rFonts w:ascii="Calibri" w:hAnsi="Calibri"/>
          <w:color w:val="auto"/>
          <w:sz w:val="24"/>
          <w:szCs w:val="24"/>
        </w:rPr>
      </w:pPr>
      <w:r>
        <w:rPr>
          <w:rFonts w:ascii="Calibri" w:hAnsi="Calibri"/>
          <w:color w:val="auto"/>
          <w:sz w:val="24"/>
          <w:szCs w:val="24"/>
        </w:rPr>
        <w:t>ΕΝΗΜΕΡΩΤΙΚΟ ΣΗΜΕΙΩΜΑ</w:t>
      </w:r>
      <w:bookmarkStart w:id="0" w:name="_GoBack"/>
      <w:bookmarkEnd w:id="0"/>
    </w:p>
    <w:p w:rsidR="004E4F90" w:rsidRPr="005E5EB3" w:rsidRDefault="005E5EB3" w:rsidP="005E5EB3">
      <w:pPr>
        <w:pStyle w:val="1"/>
        <w:spacing w:before="120" w:line="240" w:lineRule="auto"/>
        <w:jc w:val="center"/>
        <w:rPr>
          <w:rFonts w:ascii="Calibri" w:hAnsi="Calibri"/>
          <w:color w:val="auto"/>
          <w:sz w:val="24"/>
          <w:szCs w:val="24"/>
        </w:rPr>
      </w:pPr>
      <w:r>
        <w:rPr>
          <w:rFonts w:ascii="Calibri" w:hAnsi="Calibri"/>
          <w:color w:val="auto"/>
          <w:sz w:val="24"/>
          <w:szCs w:val="24"/>
        </w:rPr>
        <w:t xml:space="preserve">ΑΠΛΟΠΟΙΗΣΗ ΑΔΕΙΟΔΟΤΗΣΗΣ </w:t>
      </w:r>
      <w:r w:rsidR="00D6093E" w:rsidRPr="005E5EB3">
        <w:rPr>
          <w:rFonts w:ascii="Calibri" w:hAnsi="Calibri"/>
          <w:color w:val="auto"/>
          <w:sz w:val="24"/>
          <w:szCs w:val="24"/>
        </w:rPr>
        <w:t>ΝΕΟ ΘΕΣΜΙΚΟ ΠΛΑΙΣΙΟ ΑΣΚΗΣΗΣ ΟΙΚΟΝΟΜΙΚΗΣ ΔΡΑΣΤΗΡΙΟΤΗΤΑΣ</w:t>
      </w:r>
    </w:p>
    <w:p w:rsidR="004E4F90" w:rsidRPr="008F6870" w:rsidRDefault="00DA3CAE" w:rsidP="008F6870">
      <w:pPr>
        <w:spacing w:before="120" w:after="0" w:line="240" w:lineRule="auto"/>
        <w:jc w:val="both"/>
        <w:rPr>
          <w:b/>
          <w:sz w:val="24"/>
          <w:szCs w:val="24"/>
        </w:rPr>
      </w:pPr>
      <w:r w:rsidRPr="008F6870">
        <w:rPr>
          <w:b/>
          <w:sz w:val="24"/>
          <w:szCs w:val="24"/>
        </w:rPr>
        <w:t>Μια ο</w:t>
      </w:r>
      <w:r w:rsidR="004E4F90" w:rsidRPr="008F6870">
        <w:rPr>
          <w:b/>
          <w:sz w:val="24"/>
          <w:szCs w:val="24"/>
        </w:rPr>
        <w:t>λιστική πολιτική</w:t>
      </w:r>
    </w:p>
    <w:p w:rsidR="004E4F90" w:rsidRPr="008F6870" w:rsidRDefault="004E4F90" w:rsidP="008F6870">
      <w:pPr>
        <w:spacing w:before="120" w:after="0" w:line="240" w:lineRule="auto"/>
        <w:jc w:val="both"/>
        <w:rPr>
          <w:sz w:val="24"/>
          <w:szCs w:val="24"/>
        </w:rPr>
      </w:pPr>
      <w:r w:rsidRPr="008F6870">
        <w:rPr>
          <w:sz w:val="24"/>
          <w:szCs w:val="24"/>
        </w:rPr>
        <w:t>Βασικό μέλημα της Κυβέρνησης και ειδικά του Υπουργείου Οικονομίας και Ανάπτυξης είναι να διαμορφωθεί στη χώρα ένα οικονομικό περιβάλλον που να ευνοεί τη σύσταση και την ανάπτυξη δυναμικών επιχειρήσεων, ιδιαίτερα μικρών και μεσαίων επιχειρήσεων, να ενισχυθεί η απασχόληση που καταβαραθρώθηκε στα χρόνια της κρίσης και να στραφεί η παραγωγική δραστηριότητα προς ένα μοντέλο δίκαιης και βιώσιμης ανάπτυξης.</w:t>
      </w:r>
    </w:p>
    <w:p w:rsidR="004E4F90" w:rsidRPr="008F6870" w:rsidRDefault="004E4F90" w:rsidP="008F6870">
      <w:pPr>
        <w:spacing w:before="120" w:after="0" w:line="240" w:lineRule="auto"/>
        <w:jc w:val="both"/>
        <w:rPr>
          <w:sz w:val="24"/>
          <w:szCs w:val="24"/>
        </w:rPr>
      </w:pPr>
      <w:r w:rsidRPr="008F6870">
        <w:rPr>
          <w:sz w:val="24"/>
          <w:szCs w:val="24"/>
        </w:rPr>
        <w:t>Γι’ αυτό το σκοπό, το Υπουργείο παρεμβαίνει σε δύο άξονες. Από τη μια, διασφαλίζονται σύγχρονα χρηματοοικονομικά εργαλεία για να καλυφθεί το χρηματοδοτικό κενό των ελληνικών επιχειρήσεων. Από την άλλη, η Κυβέρνηση παρεμβαίνει στο θεσμικό πεδίο, προκειμένου να απλοποιηθούν οι διαδικασίες και να μειωθεί η γραφειοκρατία.</w:t>
      </w:r>
    </w:p>
    <w:p w:rsidR="004E4F90" w:rsidRPr="008F6870" w:rsidRDefault="004E4F90" w:rsidP="008F6870">
      <w:pPr>
        <w:spacing w:before="120" w:after="0" w:line="240" w:lineRule="auto"/>
        <w:jc w:val="both"/>
        <w:rPr>
          <w:sz w:val="24"/>
          <w:szCs w:val="24"/>
        </w:rPr>
      </w:pPr>
      <w:r w:rsidRPr="008F6870">
        <w:rPr>
          <w:sz w:val="24"/>
          <w:szCs w:val="24"/>
        </w:rPr>
        <w:t>Τα δύο νομοσχέδια του Υπουργείου Οικονομίας και Ανάπτυξης – το πρώτο: για τη μεταρρύθμιση του συστήματος αδειοδότησης των επιχειρήσεων, το δεύτερο: για την απλοποίηση της σύστασης επιχειρήσεων με τις υ</w:t>
      </w:r>
      <w:r w:rsidR="00C10B2C">
        <w:rPr>
          <w:sz w:val="24"/>
          <w:szCs w:val="24"/>
        </w:rPr>
        <w:t>πηρεσίες μιας στάσης (που ψηφίστ</w:t>
      </w:r>
      <w:r w:rsidRPr="008F6870">
        <w:rPr>
          <w:sz w:val="24"/>
          <w:szCs w:val="24"/>
        </w:rPr>
        <w:t xml:space="preserve">ηκε ήδη) – έχουν εξέχουσα και κρίσιμη σημασία για μας. Σύντομα κατατίθεται επιπλέον νομοσχέδιο, στην ίδια κατεύθυνση, για την εξειδίκευση των διαδικασιών ελέγχου και την εποπτεία της αγοράς. Αυτές οι παρεμβάσεις εντάσσονται </w:t>
      </w:r>
      <w:r w:rsidR="00C10B2C">
        <w:rPr>
          <w:sz w:val="24"/>
          <w:szCs w:val="24"/>
        </w:rPr>
        <w:t>σε έναν ενιαίο, ολιστικό σχεδιασμό</w:t>
      </w:r>
      <w:r w:rsidRPr="008F6870">
        <w:rPr>
          <w:sz w:val="24"/>
          <w:szCs w:val="24"/>
        </w:rPr>
        <w:t xml:space="preserve">, με </w:t>
      </w:r>
      <w:r w:rsidR="00C10B2C">
        <w:rPr>
          <w:sz w:val="24"/>
          <w:szCs w:val="24"/>
        </w:rPr>
        <w:t xml:space="preserve">στόχο τον </w:t>
      </w:r>
      <w:r w:rsidRPr="008F6870">
        <w:rPr>
          <w:sz w:val="24"/>
          <w:szCs w:val="24"/>
        </w:rPr>
        <w:t>εξορθολογισμό του θεσμικού πλαισίου για τη σύσταση και την αδειοδότηση επιχειρήσεων, με παράλληλη διασφάλιση του δημοσίου συμφέροντος επί της ουσίας και όχι στους τύπους.</w:t>
      </w:r>
    </w:p>
    <w:p w:rsidR="008F6870" w:rsidRPr="008F6870" w:rsidRDefault="008F6870" w:rsidP="008F6870">
      <w:pPr>
        <w:spacing w:before="120" w:after="0" w:line="240" w:lineRule="auto"/>
        <w:jc w:val="both"/>
        <w:rPr>
          <w:sz w:val="24"/>
          <w:szCs w:val="24"/>
        </w:rPr>
      </w:pPr>
      <w:r w:rsidRPr="008F6870">
        <w:rPr>
          <w:sz w:val="24"/>
          <w:szCs w:val="24"/>
        </w:rPr>
        <w:t>Όπως τόνισε ο Αναπληρωτής Υπουργός Οικονομίας και Ανάπτυξης Αλέξης Χαρίτσης</w:t>
      </w:r>
      <w:r w:rsidR="00C10B2C">
        <w:rPr>
          <w:sz w:val="24"/>
          <w:szCs w:val="24"/>
        </w:rPr>
        <w:t>,</w:t>
      </w:r>
      <w:r w:rsidRPr="008F6870">
        <w:rPr>
          <w:sz w:val="24"/>
          <w:szCs w:val="24"/>
        </w:rPr>
        <w:t xml:space="preserve"> «το νομοσχέδιο επιχειρεί μια ολοκληρωμένη παρέμβαση, με σαφή τα παραπέρα βήματα για την εφαρμογή της μεταρρύθμισης. Μαζί με το νόμο που ψηφίσαμε χθες για την απλοποίηση της σύστασης επιχειρήσεων και το νομοσχέδιο που θα κατατεθεί σύντομα για την εξειδίκευση των ελέγχων, δημιουργείται ένα νέο θεσμικό πλαίσιο, απολύτως απαραίτητο προκειμένου να μπορέσουν να ανθήσουν ελληνικές μικρομεσαίες επιχειρήσεις, αλλά και για να προσελκύσουμε σοβαρές ξένες επενδύσεις. Σε συνδυασμό με τα χρηματοοικονομικά εργαλεία που προωθούμε, θέτουμε τις προϋποθέσεις ώστε η βελτίωση των μακροοικονομικών προοπτικών της ελληνικής οικονομίας να έχει αντίκρισμα στην πραγματική οικονομία και στην τόνωση της απασχόλησης.»</w:t>
      </w:r>
    </w:p>
    <w:p w:rsidR="00DA3CAE" w:rsidRPr="008F6870" w:rsidRDefault="00DA3CAE" w:rsidP="008F6870">
      <w:pPr>
        <w:spacing w:before="120" w:after="0" w:line="240" w:lineRule="auto"/>
        <w:jc w:val="both"/>
        <w:rPr>
          <w:b/>
          <w:sz w:val="24"/>
          <w:szCs w:val="24"/>
        </w:rPr>
      </w:pPr>
      <w:r w:rsidRPr="008F6870">
        <w:rPr>
          <w:b/>
          <w:sz w:val="24"/>
          <w:szCs w:val="24"/>
        </w:rPr>
        <w:t>Ποιες αλλαγές έρχονται με το νομοσχέδιο</w:t>
      </w:r>
    </w:p>
    <w:p w:rsidR="00DA3CAE" w:rsidRPr="008F6870" w:rsidRDefault="00DA3CAE" w:rsidP="008F6870">
      <w:pPr>
        <w:spacing w:before="120" w:after="0" w:line="240" w:lineRule="auto"/>
        <w:jc w:val="both"/>
        <w:rPr>
          <w:sz w:val="24"/>
          <w:szCs w:val="24"/>
        </w:rPr>
      </w:pPr>
      <w:r w:rsidRPr="008F6870">
        <w:rPr>
          <w:sz w:val="24"/>
          <w:szCs w:val="24"/>
        </w:rPr>
        <w:t xml:space="preserve">Το νομοσχέδιο, σε αντίθεση με προηγούμενες νομοθετικές προσπάθειες απλοποίησης, για πρώτη φορά εισάγει σύγχρονα εργαλεία, σε εναρμόνιση με τα διεθνώς καθιερωμένα, και απαντά στα πραγματικά προβλήματα. </w:t>
      </w:r>
    </w:p>
    <w:p w:rsidR="00DA3CAE" w:rsidRPr="008F6870" w:rsidRDefault="00DA3CAE" w:rsidP="008F6870">
      <w:pPr>
        <w:spacing w:before="120" w:after="0" w:line="240" w:lineRule="auto"/>
        <w:jc w:val="both"/>
        <w:rPr>
          <w:sz w:val="24"/>
          <w:szCs w:val="24"/>
        </w:rPr>
      </w:pPr>
      <w:r w:rsidRPr="008F6870">
        <w:rPr>
          <w:sz w:val="24"/>
          <w:szCs w:val="24"/>
        </w:rPr>
        <w:t>Το πνεύμα του νέου νόμου είναι η μετάβαση από μια βαριά και γραφειοκρατική διαδικασία αδειοδότησης εκ των προτέρων (</w:t>
      </w:r>
      <w:r w:rsidRPr="008F6870">
        <w:rPr>
          <w:sz w:val="24"/>
          <w:szCs w:val="24"/>
          <w:lang w:val="de-DE"/>
        </w:rPr>
        <w:t>ex</w:t>
      </w:r>
      <w:r w:rsidRPr="008F6870">
        <w:rPr>
          <w:sz w:val="24"/>
          <w:szCs w:val="24"/>
        </w:rPr>
        <w:t xml:space="preserve"> </w:t>
      </w:r>
      <w:r w:rsidRPr="008F6870">
        <w:rPr>
          <w:sz w:val="24"/>
          <w:szCs w:val="24"/>
          <w:lang w:val="de-DE"/>
        </w:rPr>
        <w:t>ante</w:t>
      </w:r>
      <w:r w:rsidRPr="008F6870">
        <w:rPr>
          <w:sz w:val="24"/>
          <w:szCs w:val="24"/>
        </w:rPr>
        <w:t xml:space="preserve">) σε μια απλή διαδικασία γνωστοποίησης για την έναρξη μιας οικονομικής δραστηριότητας – χωρίς περιττές </w:t>
      </w:r>
      <w:r w:rsidRPr="008F6870">
        <w:rPr>
          <w:sz w:val="24"/>
          <w:szCs w:val="24"/>
        </w:rPr>
        <w:lastRenderedPageBreak/>
        <w:t>διατυπώσεις και επικαλύψεις – και σε ένα σύστημα, από εκεί και πέρα, ουσιαστικών ελέγχων εκ των υστέρων (</w:t>
      </w:r>
      <w:r w:rsidRPr="008F6870">
        <w:rPr>
          <w:sz w:val="24"/>
          <w:szCs w:val="24"/>
          <w:lang w:val="de-DE"/>
        </w:rPr>
        <w:t>ex</w:t>
      </w:r>
      <w:r w:rsidRPr="008F6870">
        <w:rPr>
          <w:sz w:val="24"/>
          <w:szCs w:val="24"/>
        </w:rPr>
        <w:t xml:space="preserve"> </w:t>
      </w:r>
      <w:r w:rsidRPr="008F6870">
        <w:rPr>
          <w:sz w:val="24"/>
          <w:szCs w:val="24"/>
          <w:lang w:val="de-DE"/>
        </w:rPr>
        <w:t>post</w:t>
      </w:r>
      <w:r w:rsidRPr="008F6870">
        <w:rPr>
          <w:sz w:val="24"/>
          <w:szCs w:val="24"/>
        </w:rPr>
        <w:t>), στην πραγματική λειτουργία της επιχείρησης.</w:t>
      </w:r>
    </w:p>
    <w:p w:rsidR="00DA3CAE" w:rsidRPr="008F6870" w:rsidRDefault="008F6870" w:rsidP="008F6870">
      <w:pPr>
        <w:spacing w:before="120" w:after="0" w:line="240" w:lineRule="auto"/>
        <w:jc w:val="both"/>
        <w:rPr>
          <w:sz w:val="24"/>
          <w:szCs w:val="24"/>
        </w:rPr>
      </w:pPr>
      <w:r w:rsidRPr="008F6870">
        <w:rPr>
          <w:sz w:val="24"/>
          <w:szCs w:val="24"/>
        </w:rPr>
        <w:t>Α</w:t>
      </w:r>
      <w:r w:rsidR="00DA3CAE" w:rsidRPr="008F6870">
        <w:rPr>
          <w:sz w:val="24"/>
          <w:szCs w:val="24"/>
        </w:rPr>
        <w:t>πλοποιείται και επιταχύνεται σημαντικά η έναρξη οικονομικής δραστηριότητας. Σήμερα απαιτούνται κατά μέσο όρο 30 μέρες για την έκδοση της άδειας (για τυπικούς, κατ’ ουσίαν, λόγους). Με το νέο νόμο, η λειτουργία της επιχείρησης θα μπορεί να αρχίζει άμεσα μετά τη γνωστοποίηση των όρων.</w:t>
      </w:r>
    </w:p>
    <w:p w:rsidR="00DA3CAE" w:rsidRPr="008F6870" w:rsidRDefault="008F6870" w:rsidP="008F6870">
      <w:pPr>
        <w:spacing w:before="120" w:after="0" w:line="240" w:lineRule="auto"/>
        <w:jc w:val="both"/>
        <w:rPr>
          <w:sz w:val="24"/>
          <w:szCs w:val="24"/>
        </w:rPr>
      </w:pPr>
      <w:r w:rsidRPr="008F6870">
        <w:rPr>
          <w:sz w:val="24"/>
          <w:szCs w:val="24"/>
        </w:rPr>
        <w:t xml:space="preserve">Παράλληλα, </w:t>
      </w:r>
      <w:r w:rsidR="00DA3CAE" w:rsidRPr="008F6870">
        <w:rPr>
          <w:sz w:val="24"/>
          <w:szCs w:val="24"/>
        </w:rPr>
        <w:t xml:space="preserve">διασφαλίζεται το δημόσιο συμφέρον, προστατεύεται δηλαδή ουσιαστικά το κοινωνικό σύνολο έναντι ενδεχόμενων κινδύνων (για τη δημόσια υγεία και το περιβάλλον). </w:t>
      </w:r>
      <w:r w:rsidR="00DA3CAE" w:rsidRPr="00D6093E">
        <w:rPr>
          <w:b/>
          <w:sz w:val="24"/>
          <w:szCs w:val="24"/>
          <w:u w:val="single"/>
        </w:rPr>
        <w:t>Αντί</w:t>
      </w:r>
      <w:r w:rsidR="00DA3CAE" w:rsidRPr="008F6870">
        <w:rPr>
          <w:sz w:val="24"/>
          <w:szCs w:val="24"/>
        </w:rPr>
        <w:t xml:space="preserve"> για τυπικούς ελέγχους </w:t>
      </w:r>
      <w:r w:rsidRPr="008F6870">
        <w:rPr>
          <w:sz w:val="24"/>
          <w:szCs w:val="24"/>
        </w:rPr>
        <w:t xml:space="preserve">για το </w:t>
      </w:r>
      <w:r w:rsidR="00DA3CAE" w:rsidRPr="008F6870">
        <w:rPr>
          <w:sz w:val="24"/>
          <w:szCs w:val="24"/>
        </w:rPr>
        <w:t xml:space="preserve">αν είναι πλήρη τα δικαιολογητικά και </w:t>
      </w:r>
      <w:r w:rsidRPr="008F6870">
        <w:rPr>
          <w:sz w:val="24"/>
          <w:szCs w:val="24"/>
        </w:rPr>
        <w:t xml:space="preserve">τις </w:t>
      </w:r>
      <w:r w:rsidR="00DA3CAE" w:rsidRPr="008F6870">
        <w:rPr>
          <w:sz w:val="24"/>
          <w:szCs w:val="24"/>
        </w:rPr>
        <w:t xml:space="preserve">επιτόπιες αυτοψίες </w:t>
      </w:r>
      <w:r w:rsidR="00DA3CAE" w:rsidRPr="008F6870">
        <w:rPr>
          <w:b/>
          <w:sz w:val="24"/>
          <w:szCs w:val="24"/>
          <w:u w:val="single"/>
        </w:rPr>
        <w:t>πριν</w:t>
      </w:r>
      <w:r w:rsidR="00DA3CAE" w:rsidRPr="008F6870">
        <w:rPr>
          <w:sz w:val="24"/>
          <w:szCs w:val="24"/>
        </w:rPr>
        <w:t xml:space="preserve"> την έναρξη της λειτουργίας, θα ελέγχεται </w:t>
      </w:r>
      <w:r w:rsidR="00DA3CAE" w:rsidRPr="00D6093E">
        <w:rPr>
          <w:b/>
          <w:sz w:val="24"/>
          <w:szCs w:val="24"/>
          <w:u w:val="single"/>
        </w:rPr>
        <w:t>πλέον</w:t>
      </w:r>
      <w:r w:rsidR="00DA3CAE" w:rsidRPr="008F6870">
        <w:rPr>
          <w:sz w:val="24"/>
          <w:szCs w:val="24"/>
        </w:rPr>
        <w:t xml:space="preserve"> </w:t>
      </w:r>
      <w:r w:rsidR="00DA3CAE" w:rsidRPr="00D6093E">
        <w:rPr>
          <w:b/>
          <w:sz w:val="24"/>
          <w:szCs w:val="24"/>
          <w:u w:val="single"/>
        </w:rPr>
        <w:t>το ουσιώδες</w:t>
      </w:r>
      <w:r w:rsidR="00DA3CAE" w:rsidRPr="008F6870">
        <w:rPr>
          <w:sz w:val="24"/>
          <w:szCs w:val="24"/>
        </w:rPr>
        <w:t>: αν οι επιχειρήσεις, όπως λειτουργούν πραγματικά, συμμορφώνονται ή όχι στους σχετικούς όρους.</w:t>
      </w:r>
    </w:p>
    <w:p w:rsidR="00D6093E" w:rsidRPr="00D6093E" w:rsidRDefault="00D6093E" w:rsidP="00D6093E">
      <w:pPr>
        <w:spacing w:before="120" w:after="0" w:line="240" w:lineRule="auto"/>
        <w:jc w:val="both"/>
        <w:rPr>
          <w:sz w:val="24"/>
          <w:szCs w:val="24"/>
        </w:rPr>
      </w:pPr>
      <w:r w:rsidRPr="008F6870">
        <w:rPr>
          <w:sz w:val="24"/>
          <w:szCs w:val="24"/>
        </w:rPr>
        <w:t>Η απλοποίηση στο συγκεκριμένο νομοσχέδιο αφορά μόνο τις διαδικασίες αδειοδότησης.</w:t>
      </w:r>
      <w:r>
        <w:rPr>
          <w:sz w:val="24"/>
          <w:szCs w:val="24"/>
        </w:rPr>
        <w:t xml:space="preserve"> </w:t>
      </w:r>
      <w:r w:rsidRPr="008F6870">
        <w:rPr>
          <w:sz w:val="24"/>
          <w:szCs w:val="24"/>
        </w:rPr>
        <w:t>Η απλοποίηση των διαδικασιών σύστασης μια</w:t>
      </w:r>
      <w:r w:rsidR="00C10B2C">
        <w:rPr>
          <w:sz w:val="24"/>
          <w:szCs w:val="24"/>
        </w:rPr>
        <w:t>ς επιχείρησης προβλέπεται από το</w:t>
      </w:r>
      <w:r w:rsidRPr="008F6870">
        <w:rPr>
          <w:sz w:val="24"/>
          <w:szCs w:val="24"/>
        </w:rPr>
        <w:t xml:space="preserve"> άλλο, ήδη ψηφισθέν νομοσχέδιο του Υπουργείου. </w:t>
      </w:r>
      <w:r w:rsidRPr="00D6093E">
        <w:rPr>
          <w:sz w:val="24"/>
          <w:szCs w:val="24"/>
        </w:rPr>
        <w:t>Το νομοσχέδιο ούτε υποκαθιστά ούτε παρακάμπτει την κείμενη εργασιακή, φορολογική, περιβαλλοντική και αρχαιολογική νομοθεσία!</w:t>
      </w:r>
    </w:p>
    <w:p w:rsidR="00D6093E" w:rsidRPr="008F6870" w:rsidRDefault="00D6093E" w:rsidP="00D6093E">
      <w:pPr>
        <w:spacing w:before="120" w:after="0" w:line="240" w:lineRule="auto"/>
        <w:jc w:val="both"/>
        <w:rPr>
          <w:sz w:val="24"/>
          <w:szCs w:val="24"/>
        </w:rPr>
      </w:pPr>
      <w:r w:rsidRPr="008F6870">
        <w:rPr>
          <w:sz w:val="24"/>
          <w:szCs w:val="24"/>
        </w:rPr>
        <w:t>Οι συνεπείς επιχειρηματίες επωφελούνται από τις απλές και αντικειμενικές/αυτόματες διαδικασίες. Οι παραβάτες εντοπίζονται και έχουν να αντιμετωπίσουν αυστηρές κυρώσεις.</w:t>
      </w:r>
    </w:p>
    <w:p w:rsidR="00DA3CAE" w:rsidRPr="008F6870" w:rsidRDefault="00DA3CAE" w:rsidP="008F6870">
      <w:pPr>
        <w:spacing w:before="120" w:after="0" w:line="240" w:lineRule="auto"/>
        <w:jc w:val="both"/>
        <w:rPr>
          <w:sz w:val="24"/>
          <w:szCs w:val="24"/>
        </w:rPr>
      </w:pPr>
      <w:r w:rsidRPr="008F6870">
        <w:rPr>
          <w:sz w:val="24"/>
          <w:szCs w:val="24"/>
        </w:rPr>
        <w:t>Οι εργαζόμενοι της δημόσιας διοίκησης που είναι σήμερα δεσμευμένοι για τις τυπικές και γραφειοκρατικές διαδικασίες αδειοδότησης</w:t>
      </w:r>
      <w:r w:rsidR="008F6870" w:rsidRPr="008F6870">
        <w:rPr>
          <w:sz w:val="24"/>
          <w:szCs w:val="24"/>
        </w:rPr>
        <w:t xml:space="preserve"> (</w:t>
      </w:r>
      <w:r w:rsidRPr="008F6870">
        <w:rPr>
          <w:sz w:val="24"/>
          <w:szCs w:val="24"/>
        </w:rPr>
        <w:t xml:space="preserve">με </w:t>
      </w:r>
      <w:r w:rsidR="008F6870" w:rsidRPr="008F6870">
        <w:rPr>
          <w:sz w:val="24"/>
          <w:szCs w:val="24"/>
        </w:rPr>
        <w:t xml:space="preserve">αποτέλεσμα η </w:t>
      </w:r>
      <w:r w:rsidRPr="008F6870">
        <w:rPr>
          <w:sz w:val="24"/>
          <w:szCs w:val="24"/>
        </w:rPr>
        <w:t xml:space="preserve">εποπτεία της λειτουργίας </w:t>
      </w:r>
      <w:r w:rsidR="008F6870" w:rsidRPr="008F6870">
        <w:rPr>
          <w:sz w:val="24"/>
          <w:szCs w:val="24"/>
        </w:rPr>
        <w:t xml:space="preserve">των επιχειρήσεων </w:t>
      </w:r>
      <w:r w:rsidRPr="008F6870">
        <w:rPr>
          <w:sz w:val="24"/>
          <w:szCs w:val="24"/>
        </w:rPr>
        <w:t>να είναι εντελώς ανεπαρκής</w:t>
      </w:r>
      <w:r w:rsidR="008F6870" w:rsidRPr="008F6870">
        <w:rPr>
          <w:sz w:val="24"/>
          <w:szCs w:val="24"/>
        </w:rPr>
        <w:t>)</w:t>
      </w:r>
      <w:r w:rsidRPr="008F6870">
        <w:rPr>
          <w:sz w:val="24"/>
          <w:szCs w:val="24"/>
        </w:rPr>
        <w:t>, θα απελευθερωθούν πλέον για τους ουσιαστικούς ελέγχους. Οι έλεγχοι πλέον συστηματοποιούνται, με ενιαία κριτήρια, λαμβάνοντας υπόψη τις ιδιαιτερότητες κάθε δραστηριότητας.</w:t>
      </w:r>
    </w:p>
    <w:p w:rsidR="008F6870" w:rsidRPr="008F6870" w:rsidRDefault="008F6870" w:rsidP="008F6870">
      <w:pPr>
        <w:spacing w:before="120" w:after="0" w:line="240" w:lineRule="auto"/>
        <w:jc w:val="both"/>
        <w:rPr>
          <w:sz w:val="24"/>
          <w:szCs w:val="24"/>
        </w:rPr>
      </w:pPr>
      <w:r w:rsidRPr="008F6870">
        <w:rPr>
          <w:sz w:val="24"/>
          <w:szCs w:val="24"/>
        </w:rPr>
        <w:t>Για πρώτη φορά κατατάσσονται όλες οι οικονομικές δραστηριότητες σε τρεις κατηγορίες σε σχέση με τις προϋποθέσεις έναρξης της λειτουργίας τους:</w:t>
      </w:r>
    </w:p>
    <w:p w:rsidR="008F6870" w:rsidRPr="008F6870" w:rsidRDefault="008F6870" w:rsidP="008F6870">
      <w:pPr>
        <w:spacing w:before="120" w:after="0" w:line="240" w:lineRule="auto"/>
        <w:jc w:val="both"/>
        <w:rPr>
          <w:sz w:val="24"/>
          <w:szCs w:val="24"/>
        </w:rPr>
      </w:pPr>
      <w:r w:rsidRPr="008F6870">
        <w:rPr>
          <w:sz w:val="24"/>
          <w:szCs w:val="24"/>
        </w:rPr>
        <w:t>(α) ελεύθερη άσκηση,</w:t>
      </w:r>
    </w:p>
    <w:p w:rsidR="008F6870" w:rsidRPr="008F6870" w:rsidRDefault="008F6870" w:rsidP="008F6870">
      <w:pPr>
        <w:spacing w:before="120" w:after="0" w:line="240" w:lineRule="auto"/>
        <w:jc w:val="both"/>
        <w:rPr>
          <w:b/>
          <w:sz w:val="24"/>
          <w:szCs w:val="24"/>
        </w:rPr>
      </w:pPr>
      <w:r w:rsidRPr="008F6870">
        <w:rPr>
          <w:sz w:val="24"/>
          <w:szCs w:val="24"/>
        </w:rPr>
        <w:t>(β) γνωστοποίηση, που στον Ν. 4262 ήταν η ασαφής αναγγελία,</w:t>
      </w:r>
      <w:r w:rsidRPr="008F6870">
        <w:rPr>
          <w:b/>
          <w:sz w:val="24"/>
          <w:szCs w:val="24"/>
        </w:rPr>
        <w:t xml:space="preserve"> </w:t>
      </w:r>
    </w:p>
    <w:p w:rsidR="008F6870" w:rsidRPr="008F6870" w:rsidRDefault="008F6870" w:rsidP="008F6870">
      <w:pPr>
        <w:spacing w:before="120" w:after="0" w:line="240" w:lineRule="auto"/>
        <w:jc w:val="both"/>
        <w:rPr>
          <w:sz w:val="24"/>
          <w:szCs w:val="24"/>
        </w:rPr>
      </w:pPr>
      <w:r w:rsidRPr="008F6870">
        <w:rPr>
          <w:sz w:val="24"/>
          <w:szCs w:val="24"/>
        </w:rPr>
        <w:t>(γ) εκ των προτέρων έγκριση</w:t>
      </w:r>
    </w:p>
    <w:p w:rsidR="008F6870" w:rsidRPr="008F6870" w:rsidRDefault="008F6870" w:rsidP="008F6870">
      <w:pPr>
        <w:spacing w:before="120" w:after="0" w:line="240" w:lineRule="auto"/>
        <w:jc w:val="both"/>
        <w:rPr>
          <w:sz w:val="24"/>
          <w:szCs w:val="24"/>
        </w:rPr>
      </w:pPr>
      <w:r w:rsidRPr="008F6870">
        <w:rPr>
          <w:sz w:val="24"/>
          <w:szCs w:val="24"/>
        </w:rPr>
        <w:t xml:space="preserve">Η κατηγοριοποίηση των δραστηριοτήτων στα τρία επίπεδα κινδύνου (χαμηλού ρίσκου = ελεύθερη άσκηση, μεσαίο ρίσκου = γνωστοποίηση, υψηλού ρίσκου = έγκριση </w:t>
      </w:r>
      <w:r w:rsidRPr="008F6870">
        <w:rPr>
          <w:sz w:val="24"/>
          <w:szCs w:val="24"/>
          <w:lang w:val="de-DE"/>
        </w:rPr>
        <w:t>ex</w:t>
      </w:r>
      <w:r w:rsidRPr="008F6870">
        <w:rPr>
          <w:sz w:val="24"/>
          <w:szCs w:val="24"/>
        </w:rPr>
        <w:t xml:space="preserve"> </w:t>
      </w:r>
      <w:r w:rsidRPr="008F6870">
        <w:rPr>
          <w:sz w:val="24"/>
          <w:szCs w:val="24"/>
          <w:lang w:val="de-DE"/>
        </w:rPr>
        <w:t>ante</w:t>
      </w:r>
      <w:r w:rsidRPr="008F6870">
        <w:rPr>
          <w:sz w:val="24"/>
          <w:szCs w:val="24"/>
        </w:rPr>
        <w:t>) γίνεται πλέον με σαφή, επιστημονικά κριτήρια, σε τρεις άξονες:</w:t>
      </w:r>
    </w:p>
    <w:p w:rsidR="008F6870" w:rsidRPr="008F6870" w:rsidRDefault="008F6870" w:rsidP="008F6870">
      <w:pPr>
        <w:spacing w:before="120" w:after="0" w:line="240" w:lineRule="auto"/>
        <w:jc w:val="both"/>
        <w:rPr>
          <w:sz w:val="24"/>
          <w:szCs w:val="24"/>
        </w:rPr>
      </w:pPr>
      <w:r w:rsidRPr="008F6870">
        <w:rPr>
          <w:sz w:val="24"/>
          <w:szCs w:val="24"/>
        </w:rPr>
        <w:t xml:space="preserve">(1) κίνδυνος για την υγεία των καταναλωτών, </w:t>
      </w:r>
    </w:p>
    <w:p w:rsidR="008F6870" w:rsidRPr="008F6870" w:rsidRDefault="008F6870" w:rsidP="008F6870">
      <w:pPr>
        <w:spacing w:before="120" w:after="0" w:line="240" w:lineRule="auto"/>
        <w:jc w:val="both"/>
        <w:rPr>
          <w:sz w:val="24"/>
          <w:szCs w:val="24"/>
        </w:rPr>
      </w:pPr>
      <w:r w:rsidRPr="008F6870">
        <w:rPr>
          <w:sz w:val="24"/>
          <w:szCs w:val="24"/>
        </w:rPr>
        <w:t xml:space="preserve">(2) κίνδυνος για την υγεία και ασφάλεια των εργαζομένων και περιοίκων, </w:t>
      </w:r>
    </w:p>
    <w:p w:rsidR="008F6870" w:rsidRPr="008F6870" w:rsidRDefault="008F6870" w:rsidP="008F6870">
      <w:pPr>
        <w:spacing w:before="120" w:after="0" w:line="240" w:lineRule="auto"/>
        <w:jc w:val="both"/>
        <w:rPr>
          <w:sz w:val="24"/>
          <w:szCs w:val="24"/>
        </w:rPr>
      </w:pPr>
      <w:r w:rsidRPr="008F6870">
        <w:rPr>
          <w:sz w:val="24"/>
          <w:szCs w:val="24"/>
        </w:rPr>
        <w:t>(3) κίνδυνος για το φυσικό και πολιτιστικό περιβάλλον στο βαθμό που δεν καλύπτεται από άλλη νομοθεσία.</w:t>
      </w:r>
    </w:p>
    <w:p w:rsidR="008F6870" w:rsidRPr="008F6870" w:rsidRDefault="008F6870" w:rsidP="008F6870">
      <w:pPr>
        <w:spacing w:before="120" w:after="0" w:line="240" w:lineRule="auto"/>
        <w:jc w:val="both"/>
        <w:rPr>
          <w:sz w:val="24"/>
          <w:szCs w:val="24"/>
        </w:rPr>
      </w:pPr>
      <w:r w:rsidRPr="008F6870">
        <w:rPr>
          <w:sz w:val="24"/>
          <w:szCs w:val="24"/>
        </w:rPr>
        <w:t xml:space="preserve">Εισάγεται για πρώτη φορά το σύγχρονο εργαλείο της γνωστοποίησης, σύμφωνα και με τα καλύτερα παραδείγματα της διεθνούς πρακτικής. </w:t>
      </w:r>
      <w:r w:rsidRPr="00D6093E">
        <w:rPr>
          <w:b/>
          <w:sz w:val="24"/>
          <w:szCs w:val="24"/>
        </w:rPr>
        <w:t>Η γνωστοποίηση είναι ένα έγγραφο με το οποίο ο επιχειρηματίας ενημερώνει τη διοίκηση για την έναρξη λειτουργίας της επιχείρησης</w:t>
      </w:r>
      <w:r w:rsidRPr="008F6870">
        <w:rPr>
          <w:sz w:val="24"/>
          <w:szCs w:val="24"/>
        </w:rPr>
        <w:t xml:space="preserve">.  Πλέον, </w:t>
      </w:r>
      <w:r w:rsidRPr="00D6093E">
        <w:rPr>
          <w:b/>
          <w:sz w:val="24"/>
          <w:szCs w:val="24"/>
        </w:rPr>
        <w:t>τα δικαιολογητικά δεν προσκομίζονται</w:t>
      </w:r>
      <w:r w:rsidRPr="008F6870">
        <w:rPr>
          <w:sz w:val="24"/>
          <w:szCs w:val="24"/>
        </w:rPr>
        <w:t xml:space="preserve">. Τα κρατά η επιχείρηση στο αρχείο της και είναι διαθέσιμα στις ελεγκτικές αρχές. Αντίθετα, η αναγγελία του Ν. 4262 ήταν ουσιαστικά εκ των προτέρων άδεια, με προσκόμιση δικαιολογητικών και έκδοση διοικητικής πράξης. </w:t>
      </w:r>
    </w:p>
    <w:p w:rsidR="00DA3CAE" w:rsidRPr="008F6870" w:rsidRDefault="008F6870" w:rsidP="008F6870">
      <w:pPr>
        <w:spacing w:before="120" w:after="0" w:line="240" w:lineRule="auto"/>
        <w:jc w:val="both"/>
        <w:rPr>
          <w:sz w:val="24"/>
          <w:szCs w:val="24"/>
        </w:rPr>
      </w:pPr>
      <w:r w:rsidRPr="008F6870">
        <w:rPr>
          <w:sz w:val="24"/>
          <w:szCs w:val="24"/>
        </w:rPr>
        <w:t>Εισάγεται για πρώτη φορά μια ολοκληρωμένη στρατηγική για ολόκληρη την αλυσίδα αδειοδότησης (γνωστοποίηση ή έγκριση, διαχείριση εγκρίσεων και ελέγχων). Σε αυτή τη βάση, αυτοματοποιούνται οι διαδικασίες, προσδιορίζεται ο αντικειμενικός και τεχνικός χαρακτήρας τους, ελαχιστοποιείται ο κίνδυνος εξωγενών παρεμβάσεων (διαφθοράς και διαπλοκής) και μέσω της εισαγωγής του Ολοκληρωμένου Πληροφοριακού Συστήματος.</w:t>
      </w:r>
    </w:p>
    <w:p w:rsidR="008F6870" w:rsidRPr="008F6870" w:rsidRDefault="008F6870" w:rsidP="008F6870">
      <w:pPr>
        <w:spacing w:before="120" w:after="0" w:line="240" w:lineRule="auto"/>
        <w:jc w:val="both"/>
        <w:rPr>
          <w:sz w:val="24"/>
          <w:szCs w:val="24"/>
        </w:rPr>
      </w:pPr>
      <w:r w:rsidRPr="008F6870">
        <w:rPr>
          <w:sz w:val="24"/>
          <w:szCs w:val="24"/>
        </w:rPr>
        <w:t>Βασική πρόβλεψη του νέου νόμου είναι το «</w:t>
      </w:r>
      <w:r w:rsidRPr="00F45FBB">
        <w:rPr>
          <w:b/>
          <w:sz w:val="24"/>
          <w:szCs w:val="24"/>
        </w:rPr>
        <w:t>Ολοκληρωμένο Πληροφοριακό Σύστημα Άσκησης Δραστηριοτήτων και Ελέγχων</w:t>
      </w:r>
      <w:r w:rsidRPr="008F6870">
        <w:rPr>
          <w:sz w:val="24"/>
          <w:szCs w:val="24"/>
        </w:rPr>
        <w:t xml:space="preserve">» (ΟΠΣ-ΑΔΕ), που θα υπάγεται στη Γενική Γραμματεία Βιομηχανίας του Υπουργείου Οικονομίας και Ανάπτυξης. Το σύστημα θα είναι διαλειτουργικό, διασυνδεδεμένο με το Γενικό Εμπορικό Μητρώο (ΓΕΜΗ) και το σύστημα </w:t>
      </w:r>
      <w:r w:rsidRPr="008F6870">
        <w:rPr>
          <w:sz w:val="24"/>
          <w:szCs w:val="24"/>
          <w:lang w:val="en-US"/>
        </w:rPr>
        <w:t>TAXIS</w:t>
      </w:r>
      <w:r w:rsidRPr="008F6870">
        <w:rPr>
          <w:sz w:val="24"/>
          <w:szCs w:val="24"/>
        </w:rPr>
        <w:t>. Η σύσταση του Υπουργείου Ψηφιακής Πολιτικής υπογραμμίζει  την προτεραιότητα που αποδίδει η Κυβέρνηση σε μια ενιαία ψηφιακή στρατηγική. Η εισαγωγή του πληροφοριακού συστήματος μειώνει αποφασιστικά το διοικητικό βάρος. Θα καταστήσει πολύ αποτελεσματικότερο τον έλεγχο, καθώς μάλιστα το σύστημα θα δημιουργήσει ένα ολοκληρωμένο μητρώο με τις πληροφορίες για κάθε επιχείρηση, αλλά και θα ανταλλάσσει δεδομένα με άλλες υπηρεσίες και βάσεις δεδομένων. Θα αποτρέψει εξωγενείς παρεμβάσεις στις διαδικασίες.</w:t>
      </w:r>
    </w:p>
    <w:p w:rsidR="008F6870" w:rsidRPr="008F6870" w:rsidRDefault="008F6870" w:rsidP="008F6870">
      <w:pPr>
        <w:spacing w:before="120" w:after="0" w:line="240" w:lineRule="auto"/>
        <w:jc w:val="both"/>
        <w:rPr>
          <w:sz w:val="24"/>
          <w:szCs w:val="24"/>
        </w:rPr>
      </w:pPr>
      <w:r w:rsidRPr="008F6870">
        <w:rPr>
          <w:sz w:val="24"/>
          <w:szCs w:val="24"/>
        </w:rPr>
        <w:t xml:space="preserve">Ο νέος νόμος εξετάζει την εφαρμογή κατά προτεραιότητα σε τρεις κλάδους που συνεισφέρουν αποφασιστικά στο ΑΕΠ της χώρας: </w:t>
      </w:r>
      <w:r w:rsidRPr="00F45FBB">
        <w:rPr>
          <w:b/>
          <w:sz w:val="24"/>
          <w:szCs w:val="24"/>
        </w:rPr>
        <w:t>βιομηχανία τροφίμων και ποτών, καταστήματα υγειονομικού ενδιαφέροντος, τουριστικά καταλύματα</w:t>
      </w:r>
      <w:r w:rsidRPr="008F6870">
        <w:rPr>
          <w:sz w:val="24"/>
          <w:szCs w:val="24"/>
        </w:rPr>
        <w:t>. Σταδιακά θα εντάσσονται στη νέα νομοθεσία και άλλοι κλάδοι, ξεκινώντας από εκείνους με τις πιο βαριές διαδικασίες. Έτσι, μέχρι τον Μάρτιο του 2017 θα εξεταστούν και θα ενσωματωθούν οι εξορυκτικές δραστηριότητες και τα διαμετακομιστικά κέντρα (</w:t>
      </w:r>
      <w:r w:rsidRPr="008F6870">
        <w:rPr>
          <w:sz w:val="24"/>
          <w:szCs w:val="24"/>
          <w:lang w:val="en-US"/>
        </w:rPr>
        <w:t>logistics</w:t>
      </w:r>
      <w:r w:rsidRPr="008F6870">
        <w:rPr>
          <w:sz w:val="24"/>
          <w:szCs w:val="24"/>
        </w:rPr>
        <w:t>).</w:t>
      </w:r>
      <w:r w:rsidR="00F45FBB">
        <w:rPr>
          <w:sz w:val="24"/>
          <w:szCs w:val="24"/>
        </w:rPr>
        <w:t xml:space="preserve"> Ακολουθεί η </w:t>
      </w:r>
      <w:r w:rsidR="00F45FBB">
        <w:t xml:space="preserve">απλοποίηση και της άδειας εγκατάστασης, που ως διαδικασία διατρέχει το σύνολο της Μεταποίησης. Μέχρι το 2018, θα έχουν </w:t>
      </w:r>
      <w:r w:rsidR="00F45FBB" w:rsidRPr="00D80A4B">
        <w:t xml:space="preserve">απλοποιηθεί όλοι οι τομείς </w:t>
      </w:r>
      <w:r w:rsidR="00F45FBB">
        <w:t xml:space="preserve">οικονομικής </w:t>
      </w:r>
      <w:r w:rsidR="00F45FBB" w:rsidRPr="00D80A4B">
        <w:t>δραστηριότητας</w:t>
      </w:r>
      <w:r w:rsidR="00F45FBB">
        <w:t>.</w:t>
      </w:r>
    </w:p>
    <w:p w:rsidR="004E4F90" w:rsidRPr="004E4F90" w:rsidRDefault="004E4F90" w:rsidP="004E4F90">
      <w:pPr>
        <w:jc w:val="both"/>
      </w:pPr>
    </w:p>
    <w:p w:rsidR="004E4F90" w:rsidRPr="00D6093E" w:rsidRDefault="004E4F90" w:rsidP="004E4F90">
      <w:pPr>
        <w:pStyle w:val="1"/>
        <w:spacing w:before="0"/>
        <w:jc w:val="center"/>
        <w:rPr>
          <w:rFonts w:ascii="Calibri" w:hAnsi="Calibri"/>
          <w:color w:val="auto"/>
          <w:sz w:val="24"/>
          <w:szCs w:val="24"/>
        </w:rPr>
      </w:pPr>
      <w:r w:rsidRPr="00D6093E">
        <w:rPr>
          <w:rFonts w:ascii="Calibri" w:hAnsi="Calibri"/>
          <w:color w:val="auto"/>
          <w:sz w:val="24"/>
          <w:szCs w:val="24"/>
        </w:rPr>
        <w:t xml:space="preserve">Οι βασικές αλλαγές στο νέο </w:t>
      </w:r>
      <w:r w:rsidR="00017393" w:rsidRPr="00D6093E">
        <w:rPr>
          <w:rFonts w:ascii="Calibri" w:hAnsi="Calibri"/>
          <w:color w:val="auto"/>
          <w:sz w:val="24"/>
          <w:szCs w:val="24"/>
        </w:rPr>
        <w:t xml:space="preserve">θεσμικό πλαίσιο </w:t>
      </w:r>
    </w:p>
    <w:p w:rsidR="00017393" w:rsidRPr="00D6093E" w:rsidRDefault="00017393" w:rsidP="004E4F90">
      <w:pPr>
        <w:pStyle w:val="1"/>
        <w:spacing w:before="0"/>
        <w:jc w:val="center"/>
        <w:rPr>
          <w:rFonts w:ascii="Calibri" w:hAnsi="Calibri"/>
          <w:color w:val="auto"/>
          <w:sz w:val="24"/>
          <w:szCs w:val="24"/>
        </w:rPr>
      </w:pPr>
      <w:r w:rsidRPr="00D6093E">
        <w:rPr>
          <w:rFonts w:ascii="Calibri" w:hAnsi="Calibri"/>
          <w:color w:val="auto"/>
          <w:sz w:val="24"/>
          <w:szCs w:val="24"/>
        </w:rPr>
        <w:t>για την άσκηση οικονομικής δραστηριότητας</w:t>
      </w:r>
    </w:p>
    <w:p w:rsidR="004E4F90" w:rsidRPr="004E4F90" w:rsidRDefault="004E4F90" w:rsidP="004E4F90">
      <w:pPr>
        <w:spacing w:after="0"/>
        <w:rPr>
          <w:sz w:val="24"/>
          <w:szCs w:val="24"/>
        </w:rPr>
      </w:pPr>
    </w:p>
    <w:p w:rsidR="004E4F90" w:rsidRPr="004E4F90" w:rsidRDefault="004E4F90" w:rsidP="004E4F90">
      <w:pPr>
        <w:spacing w:after="0"/>
        <w:jc w:val="both"/>
        <w:rPr>
          <w:sz w:val="24"/>
          <w:szCs w:val="24"/>
        </w:rPr>
      </w:pPr>
      <w:r w:rsidRPr="004E4F90">
        <w:rPr>
          <w:sz w:val="24"/>
          <w:szCs w:val="24"/>
        </w:rPr>
        <w:t xml:space="preserve">Κατά τη διαδικασία της </w:t>
      </w:r>
      <w:r w:rsidRPr="004E4F90">
        <w:rPr>
          <w:b/>
          <w:sz w:val="24"/>
          <w:szCs w:val="24"/>
        </w:rPr>
        <w:t>γνωστοποίησης</w:t>
      </w:r>
      <w:r w:rsidRPr="004E4F90">
        <w:rPr>
          <w:sz w:val="24"/>
          <w:szCs w:val="24"/>
        </w:rPr>
        <w:t xml:space="preserve"> απαιτούνται τα ελάχιστα κρίσιμα στοιχεία: </w:t>
      </w:r>
    </w:p>
    <w:p w:rsidR="004E4F90" w:rsidRPr="004E4F90" w:rsidRDefault="004E4F90" w:rsidP="004E4F90">
      <w:pPr>
        <w:pStyle w:val="a3"/>
        <w:numPr>
          <w:ilvl w:val="0"/>
          <w:numId w:val="7"/>
        </w:numPr>
        <w:spacing w:after="0"/>
        <w:jc w:val="both"/>
        <w:rPr>
          <w:sz w:val="24"/>
          <w:szCs w:val="24"/>
        </w:rPr>
      </w:pPr>
      <w:r w:rsidRPr="004E4F90">
        <w:rPr>
          <w:rFonts w:cs="Cambria"/>
          <w:sz w:val="24"/>
          <w:szCs w:val="24"/>
        </w:rPr>
        <w:t>το όνομα</w:t>
      </w:r>
    </w:p>
    <w:p w:rsidR="004E4F90" w:rsidRPr="004E4F90" w:rsidRDefault="004E4F90" w:rsidP="004E4F90">
      <w:pPr>
        <w:pStyle w:val="a3"/>
        <w:numPr>
          <w:ilvl w:val="0"/>
          <w:numId w:val="7"/>
        </w:numPr>
        <w:spacing w:after="0"/>
        <w:jc w:val="both"/>
        <w:rPr>
          <w:sz w:val="24"/>
          <w:szCs w:val="24"/>
        </w:rPr>
      </w:pPr>
      <w:r w:rsidRPr="004E4F90">
        <w:rPr>
          <w:rFonts w:cs="Cambria"/>
          <w:sz w:val="24"/>
          <w:szCs w:val="24"/>
        </w:rPr>
        <w:t>η διεύθυνση του τόπου άσκησης της δραστηριότητας</w:t>
      </w:r>
    </w:p>
    <w:p w:rsidR="004E4F90" w:rsidRPr="004E4F90" w:rsidRDefault="004E4F90" w:rsidP="004E4F90">
      <w:pPr>
        <w:pStyle w:val="a3"/>
        <w:numPr>
          <w:ilvl w:val="0"/>
          <w:numId w:val="7"/>
        </w:numPr>
        <w:spacing w:after="0"/>
        <w:jc w:val="both"/>
        <w:rPr>
          <w:sz w:val="24"/>
          <w:szCs w:val="24"/>
        </w:rPr>
      </w:pPr>
      <w:r w:rsidRPr="004E4F90">
        <w:rPr>
          <w:rFonts w:cs="Cambria"/>
          <w:sz w:val="24"/>
          <w:szCs w:val="24"/>
        </w:rPr>
        <w:t>το είδος της οικονομικής δραστηριότητας ή των οικονομικών δραστηριοτήτων που πρόκειται να ασκηθούν</w:t>
      </w:r>
    </w:p>
    <w:p w:rsidR="004E4F90" w:rsidRPr="004E4F90" w:rsidRDefault="004E4F90" w:rsidP="004E4F90">
      <w:pPr>
        <w:spacing w:after="0"/>
        <w:jc w:val="both"/>
        <w:rPr>
          <w:rFonts w:cs="Cambria"/>
          <w:sz w:val="24"/>
          <w:szCs w:val="24"/>
        </w:rPr>
      </w:pPr>
      <w:r w:rsidRPr="004E4F90">
        <w:rPr>
          <w:rFonts w:cs="Cambria"/>
          <w:sz w:val="24"/>
          <w:szCs w:val="24"/>
        </w:rPr>
        <w:t xml:space="preserve">Ο χρόνος για χορήγηση άδειας και έναρξη λειτουργίας στο παλαιό καθεστώς ήταν τουλάχιστον 30 ημέρες. Στο νέο καθεστώς, </w:t>
      </w:r>
      <w:r w:rsidRPr="004E4F90">
        <w:rPr>
          <w:rFonts w:cs="Cambria"/>
          <w:b/>
          <w:sz w:val="24"/>
          <w:szCs w:val="24"/>
        </w:rPr>
        <w:t>η λειτουργία της συγκεκριμένης δραστηριότητας γίνεται αμέσως μετά τη γνωστοποίηση</w:t>
      </w:r>
      <w:r w:rsidRPr="004E4F90">
        <w:rPr>
          <w:rFonts w:cs="Cambria"/>
          <w:sz w:val="24"/>
          <w:szCs w:val="24"/>
        </w:rPr>
        <w:t>.</w:t>
      </w:r>
    </w:p>
    <w:p w:rsidR="00017393" w:rsidRPr="004E4F90" w:rsidRDefault="00017393" w:rsidP="004E4F90">
      <w:pPr>
        <w:pStyle w:val="a3"/>
        <w:spacing w:after="0"/>
        <w:ind w:left="1287"/>
        <w:jc w:val="both"/>
        <w:rPr>
          <w:sz w:val="24"/>
          <w:szCs w:val="24"/>
        </w:rPr>
      </w:pPr>
    </w:p>
    <w:p w:rsidR="00017393" w:rsidRPr="004E4F90" w:rsidRDefault="00017393" w:rsidP="004E4F90">
      <w:pPr>
        <w:spacing w:after="0"/>
        <w:jc w:val="both"/>
        <w:rPr>
          <w:b/>
          <w:sz w:val="24"/>
          <w:szCs w:val="24"/>
          <w:u w:val="single"/>
        </w:rPr>
      </w:pPr>
      <w:r w:rsidRPr="004E4F90">
        <w:rPr>
          <w:b/>
          <w:sz w:val="24"/>
          <w:szCs w:val="24"/>
          <w:u w:val="single"/>
        </w:rPr>
        <w:t xml:space="preserve">Προτεραιοποίηση σε 3 κλάδους: </w:t>
      </w:r>
    </w:p>
    <w:p w:rsidR="00017393" w:rsidRPr="004E4F90" w:rsidRDefault="00017393" w:rsidP="004E4F90">
      <w:pPr>
        <w:pStyle w:val="a3"/>
        <w:numPr>
          <w:ilvl w:val="1"/>
          <w:numId w:val="4"/>
        </w:numPr>
        <w:spacing w:after="0"/>
        <w:ind w:left="426" w:firstLine="0"/>
        <w:jc w:val="both"/>
        <w:rPr>
          <w:sz w:val="24"/>
          <w:szCs w:val="24"/>
        </w:rPr>
      </w:pPr>
      <w:r w:rsidRPr="004E4F90">
        <w:rPr>
          <w:sz w:val="24"/>
          <w:szCs w:val="24"/>
        </w:rPr>
        <w:t xml:space="preserve">Βιομηχανία Τροφίμων και Ποτών </w:t>
      </w:r>
    </w:p>
    <w:p w:rsidR="00017393" w:rsidRPr="004E4F90" w:rsidRDefault="00017393" w:rsidP="004E4F90">
      <w:pPr>
        <w:pStyle w:val="a3"/>
        <w:numPr>
          <w:ilvl w:val="1"/>
          <w:numId w:val="4"/>
        </w:numPr>
        <w:spacing w:after="0"/>
        <w:ind w:left="426" w:firstLine="0"/>
        <w:jc w:val="both"/>
        <w:rPr>
          <w:sz w:val="24"/>
          <w:szCs w:val="24"/>
        </w:rPr>
      </w:pPr>
      <w:r w:rsidRPr="004E4F90">
        <w:rPr>
          <w:sz w:val="24"/>
          <w:szCs w:val="24"/>
        </w:rPr>
        <w:t>Καταστήματα Υγειονομικού Ενδιαφέροντος (ΚΥΕ)</w:t>
      </w:r>
    </w:p>
    <w:p w:rsidR="00017393" w:rsidRPr="004E4F90" w:rsidRDefault="00017393" w:rsidP="004E4F90">
      <w:pPr>
        <w:pStyle w:val="a3"/>
        <w:numPr>
          <w:ilvl w:val="1"/>
          <w:numId w:val="4"/>
        </w:numPr>
        <w:spacing w:after="0"/>
        <w:ind w:left="426" w:firstLine="0"/>
        <w:jc w:val="both"/>
        <w:rPr>
          <w:sz w:val="24"/>
          <w:szCs w:val="24"/>
        </w:rPr>
      </w:pPr>
      <w:r w:rsidRPr="004E4F90">
        <w:rPr>
          <w:sz w:val="24"/>
          <w:szCs w:val="24"/>
        </w:rPr>
        <w:t>Τουρισμός (τουριστικά καταλύματα)</w:t>
      </w:r>
    </w:p>
    <w:p w:rsidR="00017393" w:rsidRPr="004E4F90" w:rsidRDefault="00017393" w:rsidP="004E4F90">
      <w:pPr>
        <w:pStyle w:val="a3"/>
        <w:spacing w:after="0"/>
        <w:ind w:left="426"/>
        <w:jc w:val="both"/>
        <w:rPr>
          <w:sz w:val="24"/>
          <w:szCs w:val="24"/>
          <w:u w:val="single"/>
        </w:rPr>
      </w:pPr>
      <w:r w:rsidRPr="004E4F90">
        <w:rPr>
          <w:sz w:val="24"/>
          <w:szCs w:val="24"/>
          <w:u w:val="single"/>
        </w:rPr>
        <w:t>Η πλειοψηφία των οικονομικών δραστηριοτήτων σταδιακά θα ενταχθεί στο νέο καθεστώς «γνωστοποίησης».</w:t>
      </w:r>
    </w:p>
    <w:p w:rsidR="00017393" w:rsidRPr="00FD7EB3" w:rsidRDefault="00017393" w:rsidP="00FD7EB3">
      <w:pPr>
        <w:pStyle w:val="a3"/>
        <w:ind w:left="1276"/>
        <w:jc w:val="both"/>
        <w:rPr>
          <w:u w:val="single"/>
        </w:rPr>
      </w:pPr>
    </w:p>
    <w:tbl>
      <w:tblPr>
        <w:tblW w:w="10570"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1918"/>
        <w:gridCol w:w="3382"/>
        <w:gridCol w:w="5270"/>
      </w:tblGrid>
      <w:tr w:rsidR="00017393" w:rsidRPr="00CF5F48" w:rsidTr="00CF5F48">
        <w:trPr>
          <w:jc w:val="center"/>
        </w:trPr>
        <w:tc>
          <w:tcPr>
            <w:tcW w:w="1841" w:type="dxa"/>
            <w:tcBorders>
              <w:right w:val="nil"/>
            </w:tcBorders>
            <w:shd w:val="clear" w:color="auto" w:fill="4F81BD"/>
            <w:vAlign w:val="center"/>
          </w:tcPr>
          <w:p w:rsidR="00017393" w:rsidRPr="00CF5F48" w:rsidRDefault="00017393" w:rsidP="00CF5F48">
            <w:pPr>
              <w:pStyle w:val="a3"/>
              <w:spacing w:after="0" w:line="240" w:lineRule="auto"/>
              <w:ind w:left="0"/>
              <w:jc w:val="center"/>
              <w:rPr>
                <w:b/>
                <w:bCs/>
                <w:color w:val="FFFFFF"/>
                <w:sz w:val="24"/>
                <w:szCs w:val="24"/>
              </w:rPr>
            </w:pPr>
            <w:r w:rsidRPr="00CF5F48">
              <w:rPr>
                <w:b/>
                <w:bCs/>
                <w:color w:val="FFFFFF"/>
                <w:sz w:val="24"/>
                <w:szCs w:val="24"/>
              </w:rPr>
              <w:t>Άξονες Πολιτικής</w:t>
            </w:r>
            <w:r>
              <w:rPr>
                <w:b/>
                <w:bCs/>
                <w:color w:val="FFFFFF"/>
                <w:sz w:val="24"/>
                <w:szCs w:val="24"/>
              </w:rPr>
              <w:t xml:space="preserve"> (ή μεταρρύθμισης;)</w:t>
            </w:r>
          </w:p>
        </w:tc>
        <w:tc>
          <w:tcPr>
            <w:tcW w:w="3402" w:type="dxa"/>
            <w:tcBorders>
              <w:left w:val="nil"/>
              <w:right w:val="nil"/>
            </w:tcBorders>
            <w:shd w:val="clear" w:color="auto" w:fill="4F81BD"/>
            <w:vAlign w:val="center"/>
          </w:tcPr>
          <w:p w:rsidR="00017393" w:rsidRPr="00CF5F48" w:rsidRDefault="00017393" w:rsidP="00CF5F48">
            <w:pPr>
              <w:pStyle w:val="a3"/>
              <w:spacing w:after="0" w:line="240" w:lineRule="auto"/>
              <w:ind w:left="0"/>
              <w:jc w:val="center"/>
              <w:rPr>
                <w:b/>
                <w:bCs/>
                <w:color w:val="FFFFFF"/>
                <w:sz w:val="24"/>
                <w:szCs w:val="24"/>
              </w:rPr>
            </w:pPr>
            <w:r w:rsidRPr="00CF5F48">
              <w:rPr>
                <w:bCs/>
                <w:color w:val="FFFFFF"/>
                <w:sz w:val="24"/>
                <w:szCs w:val="24"/>
              </w:rPr>
              <w:t>Παλαιό Καθεστώς</w:t>
            </w:r>
          </w:p>
        </w:tc>
        <w:tc>
          <w:tcPr>
            <w:tcW w:w="5327" w:type="dxa"/>
            <w:tcBorders>
              <w:left w:val="nil"/>
            </w:tcBorders>
            <w:shd w:val="clear" w:color="auto" w:fill="4F81BD"/>
            <w:vAlign w:val="center"/>
          </w:tcPr>
          <w:p w:rsidR="00017393" w:rsidRPr="00CF5F48" w:rsidRDefault="00017393" w:rsidP="00CF5F48">
            <w:pPr>
              <w:pStyle w:val="a3"/>
              <w:spacing w:after="0" w:line="240" w:lineRule="auto"/>
              <w:ind w:left="0"/>
              <w:jc w:val="center"/>
              <w:rPr>
                <w:b/>
                <w:bCs/>
                <w:color w:val="FFFFFF"/>
                <w:sz w:val="24"/>
                <w:szCs w:val="24"/>
              </w:rPr>
            </w:pPr>
            <w:r w:rsidRPr="00CF5F48">
              <w:rPr>
                <w:bCs/>
                <w:color w:val="FFFFFF"/>
                <w:sz w:val="24"/>
                <w:szCs w:val="24"/>
              </w:rPr>
              <w:t>Νέο Καθεστώς</w:t>
            </w:r>
          </w:p>
        </w:tc>
      </w:tr>
      <w:tr w:rsidR="00017393" w:rsidRPr="00CF5F48" w:rsidTr="00CF5F48">
        <w:trPr>
          <w:jc w:val="center"/>
        </w:trPr>
        <w:tc>
          <w:tcPr>
            <w:tcW w:w="1841" w:type="dxa"/>
            <w:tcBorders>
              <w:right w:val="nil"/>
            </w:tcBorders>
            <w:shd w:val="clear" w:color="auto" w:fill="D3DFEE"/>
          </w:tcPr>
          <w:p w:rsidR="00017393" w:rsidRPr="00CF5F48" w:rsidRDefault="00017393" w:rsidP="00CF5F48">
            <w:pPr>
              <w:pStyle w:val="a3"/>
              <w:spacing w:after="0" w:line="240" w:lineRule="auto"/>
              <w:ind w:left="0"/>
              <w:jc w:val="both"/>
              <w:rPr>
                <w:b/>
                <w:bCs/>
              </w:rPr>
            </w:pPr>
            <w:r w:rsidRPr="00CF5F48">
              <w:rPr>
                <w:b/>
                <w:bCs/>
              </w:rPr>
              <w:t>Σύστημα Αδειοδότησης</w:t>
            </w:r>
          </w:p>
          <w:p w:rsidR="00017393" w:rsidRPr="00CF5F48" w:rsidRDefault="009B058E" w:rsidP="00CF5F48">
            <w:pPr>
              <w:pStyle w:val="a3"/>
              <w:spacing w:after="0" w:line="240" w:lineRule="auto"/>
              <w:ind w:left="0"/>
              <w:jc w:val="right"/>
              <w:rPr>
                <w:b/>
                <w:bCs/>
              </w:rPr>
            </w:pPr>
            <w:r>
              <w:rPr>
                <w:b/>
                <w:noProof/>
                <w:lang w:eastAsia="el-GR"/>
              </w:rPr>
              <w:drawing>
                <wp:inline distT="0" distB="0" distL="0" distR="0">
                  <wp:extent cx="631190" cy="631190"/>
                  <wp:effectExtent l="0" t="0" r="0" b="0"/>
                  <wp:docPr id="2" name="1 - Εικόνα" descr="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system.png"/>
                          <pic:cNvPicPr>
                            <a:picLocks noChangeAspect="1" noChangeArrowheads="1"/>
                          </pic:cNvPicPr>
                        </pic:nvPicPr>
                        <pic:blipFill>
                          <a:blip r:embed="rId8"/>
                          <a:srcRect/>
                          <a:stretch>
                            <a:fillRect/>
                          </a:stretch>
                        </pic:blipFill>
                        <pic:spPr bwMode="auto">
                          <a:xfrm>
                            <a:off x="0" y="0"/>
                            <a:ext cx="631190" cy="631190"/>
                          </a:xfrm>
                          <a:prstGeom prst="rect">
                            <a:avLst/>
                          </a:prstGeom>
                          <a:noFill/>
                          <a:ln w="9525">
                            <a:noFill/>
                            <a:miter lim="800000"/>
                            <a:headEnd/>
                            <a:tailEnd/>
                          </a:ln>
                        </pic:spPr>
                      </pic:pic>
                    </a:graphicData>
                  </a:graphic>
                </wp:inline>
              </w:drawing>
            </w:r>
          </w:p>
        </w:tc>
        <w:tc>
          <w:tcPr>
            <w:tcW w:w="3402" w:type="dxa"/>
            <w:tcBorders>
              <w:left w:val="nil"/>
              <w:right w:val="nil"/>
            </w:tcBorders>
            <w:shd w:val="clear" w:color="auto" w:fill="D3DFEE"/>
          </w:tcPr>
          <w:p w:rsidR="00017393" w:rsidRPr="00CF5F48" w:rsidRDefault="00017393" w:rsidP="00CF5F48">
            <w:pPr>
              <w:pStyle w:val="a3"/>
              <w:numPr>
                <w:ilvl w:val="0"/>
                <w:numId w:val="3"/>
              </w:numPr>
              <w:spacing w:after="0" w:line="240" w:lineRule="auto"/>
              <w:ind w:left="459"/>
            </w:pPr>
            <w:r w:rsidRPr="00CF5F48">
              <w:t>«εκ των προτέρων αδειοδότηση»</w:t>
            </w:r>
          </w:p>
          <w:p w:rsidR="00017393" w:rsidRPr="00CF5F48" w:rsidRDefault="00017393" w:rsidP="00CF5F48">
            <w:pPr>
              <w:pStyle w:val="a3"/>
              <w:numPr>
                <w:ilvl w:val="0"/>
                <w:numId w:val="3"/>
              </w:numPr>
              <w:spacing w:after="0" w:line="240" w:lineRule="auto"/>
              <w:ind w:left="459"/>
            </w:pPr>
            <w:r w:rsidRPr="00CF5F48">
              <w:t>Σύνθετο σύστημα με επαναλαμβανόμενες ενέργειες</w:t>
            </w:r>
          </w:p>
        </w:tc>
        <w:tc>
          <w:tcPr>
            <w:tcW w:w="5327" w:type="dxa"/>
            <w:tcBorders>
              <w:left w:val="nil"/>
            </w:tcBorders>
            <w:shd w:val="clear" w:color="auto" w:fill="D3DFEE"/>
          </w:tcPr>
          <w:p w:rsidR="00017393" w:rsidRPr="00CF5F48" w:rsidRDefault="00017393" w:rsidP="00CF5F48">
            <w:pPr>
              <w:pStyle w:val="a3"/>
              <w:numPr>
                <w:ilvl w:val="0"/>
                <w:numId w:val="3"/>
              </w:numPr>
              <w:spacing w:after="0" w:line="240" w:lineRule="auto"/>
              <w:ind w:left="459"/>
            </w:pPr>
            <w:r>
              <w:t>Γ</w:t>
            </w:r>
            <w:r w:rsidRPr="00CF5F48">
              <w:t>νωστοποίησης</w:t>
            </w:r>
            <w:r>
              <w:t xml:space="preserve"> για την έναρξη της οικονομικής δραστηριότητας</w:t>
            </w:r>
            <w:r w:rsidRPr="00CF5F48">
              <w:t xml:space="preserve"> και έλεγχος «εκ των υστέρων» βάσει κριτηρίων ρίσκου και ειδικών χαρακτηριστικών κλάδου</w:t>
            </w:r>
          </w:p>
          <w:p w:rsidR="00017393" w:rsidRPr="00CF5F48" w:rsidRDefault="00017393" w:rsidP="00CF5F48">
            <w:pPr>
              <w:pStyle w:val="a3"/>
              <w:numPr>
                <w:ilvl w:val="0"/>
                <w:numId w:val="3"/>
              </w:numPr>
              <w:spacing w:after="0" w:line="240" w:lineRule="auto"/>
              <w:ind w:left="459"/>
            </w:pPr>
            <w:r w:rsidRPr="00CF5F48">
              <w:t>Απλ</w:t>
            </w:r>
            <w:r>
              <w:t>ουστευμένο</w:t>
            </w:r>
            <w:r w:rsidRPr="00CF5F48">
              <w:t xml:space="preserve"> σύστημα με </w:t>
            </w:r>
            <w:r>
              <w:t>εξάλειψη</w:t>
            </w:r>
            <w:r w:rsidRPr="00CF5F48">
              <w:t xml:space="preserve"> </w:t>
            </w:r>
            <w:r>
              <w:t>περιττών</w:t>
            </w:r>
            <w:r w:rsidRPr="00CF5F48">
              <w:t xml:space="preserve"> ενεργειών και σύντμηση του χρόνου </w:t>
            </w:r>
            <w:r>
              <w:t>για την ένα</w:t>
            </w:r>
          </w:p>
        </w:tc>
      </w:tr>
      <w:tr w:rsidR="00017393" w:rsidRPr="00CF5F48" w:rsidTr="00CF5F48">
        <w:trPr>
          <w:trHeight w:val="1487"/>
          <w:jc w:val="center"/>
        </w:trPr>
        <w:tc>
          <w:tcPr>
            <w:tcW w:w="1841" w:type="dxa"/>
            <w:tcBorders>
              <w:right w:val="nil"/>
            </w:tcBorders>
          </w:tcPr>
          <w:p w:rsidR="00017393" w:rsidRPr="00CF5F48" w:rsidRDefault="00017393" w:rsidP="00CF5F48">
            <w:pPr>
              <w:pStyle w:val="a3"/>
              <w:spacing w:after="0" w:line="240" w:lineRule="auto"/>
              <w:ind w:left="0"/>
              <w:jc w:val="both"/>
              <w:rPr>
                <w:b/>
                <w:bCs/>
              </w:rPr>
            </w:pPr>
            <w:r w:rsidRPr="00CF5F48">
              <w:rPr>
                <w:b/>
                <w:bCs/>
              </w:rPr>
              <w:t>Στρατηγική στόχευση</w:t>
            </w:r>
          </w:p>
          <w:p w:rsidR="00017393" w:rsidRPr="00CF5F48" w:rsidRDefault="009B058E" w:rsidP="00CF5F48">
            <w:pPr>
              <w:pStyle w:val="a3"/>
              <w:spacing w:after="0" w:line="240" w:lineRule="auto"/>
              <w:ind w:left="0"/>
              <w:jc w:val="right"/>
              <w:rPr>
                <w:b/>
                <w:bCs/>
              </w:rPr>
            </w:pPr>
            <w:r>
              <w:rPr>
                <w:b/>
                <w:noProof/>
                <w:lang w:eastAsia="el-GR"/>
              </w:rPr>
              <w:drawing>
                <wp:inline distT="0" distB="0" distL="0" distR="0">
                  <wp:extent cx="554990" cy="554990"/>
                  <wp:effectExtent l="19050" t="0" r="0" b="0"/>
                  <wp:docPr id="3" name="2 - Εικόνα" descr="strategy-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strategy-icon-2.png"/>
                          <pic:cNvPicPr>
                            <a:picLocks noChangeAspect="1" noChangeArrowheads="1"/>
                          </pic:cNvPicPr>
                        </pic:nvPicPr>
                        <pic:blipFill>
                          <a:blip r:embed="rId9"/>
                          <a:srcRect/>
                          <a:stretch>
                            <a:fillRect/>
                          </a:stretch>
                        </pic:blipFill>
                        <pic:spPr bwMode="auto">
                          <a:xfrm>
                            <a:off x="0" y="0"/>
                            <a:ext cx="554990" cy="554990"/>
                          </a:xfrm>
                          <a:prstGeom prst="rect">
                            <a:avLst/>
                          </a:prstGeom>
                          <a:noFill/>
                          <a:ln w="9525">
                            <a:noFill/>
                            <a:miter lim="800000"/>
                            <a:headEnd/>
                            <a:tailEnd/>
                          </a:ln>
                        </pic:spPr>
                      </pic:pic>
                    </a:graphicData>
                  </a:graphic>
                </wp:inline>
              </w:drawing>
            </w:r>
          </w:p>
        </w:tc>
        <w:tc>
          <w:tcPr>
            <w:tcW w:w="3402" w:type="dxa"/>
            <w:tcBorders>
              <w:left w:val="nil"/>
              <w:right w:val="nil"/>
            </w:tcBorders>
          </w:tcPr>
          <w:p w:rsidR="00017393" w:rsidRPr="00CF5F48" w:rsidRDefault="00017393" w:rsidP="00CF5F48">
            <w:pPr>
              <w:pStyle w:val="a3"/>
              <w:numPr>
                <w:ilvl w:val="0"/>
                <w:numId w:val="3"/>
              </w:numPr>
              <w:spacing w:after="0" w:line="240" w:lineRule="auto"/>
              <w:ind w:left="459"/>
            </w:pPr>
            <w:r w:rsidRPr="00CF5F48">
              <w:t>Έλλειψη εν γένει στρατηγικού προσανατολισμού</w:t>
            </w:r>
            <w:r>
              <w:t xml:space="preserve"> και φιλικής αντιμετώπισης της επιχειρηματικότητας</w:t>
            </w:r>
          </w:p>
          <w:p w:rsidR="00017393" w:rsidRPr="00CF5F48" w:rsidRDefault="00017393" w:rsidP="00CF5F48">
            <w:pPr>
              <w:pStyle w:val="a3"/>
              <w:numPr>
                <w:ilvl w:val="0"/>
                <w:numId w:val="3"/>
              </w:numPr>
              <w:spacing w:after="0" w:line="240" w:lineRule="auto"/>
              <w:ind w:left="459"/>
            </w:pPr>
            <w:r w:rsidRPr="00CF5F48">
              <w:t xml:space="preserve">Περιοριστική αντιμετώπιση της αδειοδότησης σε επίπεδο άδειας. </w:t>
            </w:r>
          </w:p>
        </w:tc>
        <w:tc>
          <w:tcPr>
            <w:tcW w:w="5327" w:type="dxa"/>
            <w:tcBorders>
              <w:left w:val="nil"/>
            </w:tcBorders>
          </w:tcPr>
          <w:p w:rsidR="00017393" w:rsidRPr="00CF5F48" w:rsidRDefault="00017393" w:rsidP="00CF5F48">
            <w:pPr>
              <w:pStyle w:val="a3"/>
              <w:numPr>
                <w:ilvl w:val="0"/>
                <w:numId w:val="3"/>
              </w:numPr>
              <w:spacing w:after="0" w:line="240" w:lineRule="auto"/>
              <w:ind w:left="459"/>
            </w:pPr>
            <w:r w:rsidRPr="00CF5F48">
              <w:t>Στρατηγική στόχευση σε:</w:t>
            </w:r>
          </w:p>
          <w:p w:rsidR="00017393" w:rsidRPr="00CF5F48" w:rsidRDefault="00017393" w:rsidP="00CF5F48">
            <w:pPr>
              <w:pStyle w:val="a3"/>
              <w:numPr>
                <w:ilvl w:val="1"/>
                <w:numId w:val="6"/>
              </w:numPr>
              <w:spacing w:after="0" w:line="240" w:lineRule="auto"/>
              <w:ind w:left="884"/>
            </w:pPr>
            <w:r w:rsidRPr="00CF5F48">
              <w:t>ΜμΕ</w:t>
            </w:r>
          </w:p>
          <w:p w:rsidR="00017393" w:rsidRPr="00CF5F48" w:rsidRDefault="00017393" w:rsidP="00CF5F48">
            <w:pPr>
              <w:pStyle w:val="a3"/>
              <w:numPr>
                <w:ilvl w:val="1"/>
                <w:numId w:val="6"/>
              </w:numPr>
              <w:spacing w:after="0" w:line="240" w:lineRule="auto"/>
              <w:ind w:left="884"/>
            </w:pPr>
            <w:r w:rsidRPr="00CF5F48">
              <w:t xml:space="preserve">Τόνωση απασχόλησης </w:t>
            </w:r>
          </w:p>
          <w:p w:rsidR="00017393" w:rsidRPr="00CF5F48" w:rsidRDefault="00017393" w:rsidP="00CF5F48">
            <w:pPr>
              <w:pStyle w:val="a3"/>
              <w:numPr>
                <w:ilvl w:val="1"/>
                <w:numId w:val="6"/>
              </w:numPr>
              <w:spacing w:after="0" w:line="240" w:lineRule="auto"/>
              <w:ind w:left="884"/>
            </w:pPr>
            <w:r w:rsidRPr="00CF5F48">
              <w:t>Άντληση ξένων επενδύσεων</w:t>
            </w:r>
          </w:p>
          <w:p w:rsidR="00017393" w:rsidRPr="00CF5F48" w:rsidRDefault="00017393" w:rsidP="00CF5F48">
            <w:pPr>
              <w:pStyle w:val="a3"/>
              <w:numPr>
                <w:ilvl w:val="1"/>
                <w:numId w:val="3"/>
              </w:numPr>
              <w:spacing w:after="0" w:line="240" w:lineRule="auto"/>
              <w:ind w:left="459"/>
            </w:pPr>
            <w:r>
              <w:t>Συστημική αντιμετώπιση</w:t>
            </w:r>
            <w:r w:rsidRPr="00CF5F48">
              <w:t xml:space="preserve"> του συνόλου μιας δραστηριότητας και όχι απλά μιας μεμονωμένης άδειας.</w:t>
            </w:r>
          </w:p>
          <w:p w:rsidR="00017393" w:rsidRPr="00CF5F48" w:rsidRDefault="00017393" w:rsidP="00CF5F48">
            <w:pPr>
              <w:pStyle w:val="a3"/>
              <w:spacing w:after="0" w:line="240" w:lineRule="auto"/>
              <w:ind w:left="459"/>
            </w:pPr>
          </w:p>
        </w:tc>
      </w:tr>
      <w:tr w:rsidR="00017393" w:rsidRPr="00CF5F48" w:rsidTr="00CF5F48">
        <w:trPr>
          <w:jc w:val="center"/>
        </w:trPr>
        <w:tc>
          <w:tcPr>
            <w:tcW w:w="1841" w:type="dxa"/>
            <w:tcBorders>
              <w:right w:val="nil"/>
            </w:tcBorders>
            <w:shd w:val="clear" w:color="auto" w:fill="D3DFEE"/>
          </w:tcPr>
          <w:p w:rsidR="00017393" w:rsidRPr="00CF5F48" w:rsidRDefault="00017393" w:rsidP="00CF5F48">
            <w:pPr>
              <w:pStyle w:val="a3"/>
              <w:spacing w:after="0" w:line="240" w:lineRule="auto"/>
              <w:ind w:left="0"/>
              <w:jc w:val="both"/>
              <w:rPr>
                <w:b/>
                <w:bCs/>
              </w:rPr>
            </w:pPr>
            <w:r w:rsidRPr="00CF5F48">
              <w:rPr>
                <w:b/>
                <w:bCs/>
              </w:rPr>
              <w:t>Εργαλεία Αδειοδότησης</w:t>
            </w:r>
          </w:p>
          <w:p w:rsidR="00017393" w:rsidRPr="00CF5F48" w:rsidRDefault="009B058E" w:rsidP="00CF5F48">
            <w:pPr>
              <w:pStyle w:val="a3"/>
              <w:spacing w:after="0" w:line="240" w:lineRule="auto"/>
              <w:ind w:left="0"/>
              <w:jc w:val="right"/>
              <w:rPr>
                <w:b/>
                <w:bCs/>
              </w:rPr>
            </w:pPr>
            <w:r>
              <w:rPr>
                <w:b/>
                <w:noProof/>
                <w:lang w:eastAsia="el-GR"/>
              </w:rPr>
              <w:drawing>
                <wp:inline distT="0" distB="0" distL="0" distR="0">
                  <wp:extent cx="598805" cy="598805"/>
                  <wp:effectExtent l="19050" t="0" r="0" b="0"/>
                  <wp:docPr id="4" name="3 - Εικόνα" descr="to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tools.png"/>
                          <pic:cNvPicPr>
                            <a:picLocks noChangeAspect="1" noChangeArrowheads="1"/>
                          </pic:cNvPicPr>
                        </pic:nvPicPr>
                        <pic:blipFill>
                          <a:blip r:embed="rId10"/>
                          <a:srcRect/>
                          <a:stretch>
                            <a:fillRect/>
                          </a:stretch>
                        </pic:blipFill>
                        <pic:spPr bwMode="auto">
                          <a:xfrm>
                            <a:off x="0" y="0"/>
                            <a:ext cx="598805" cy="598805"/>
                          </a:xfrm>
                          <a:prstGeom prst="rect">
                            <a:avLst/>
                          </a:prstGeom>
                          <a:noFill/>
                          <a:ln w="9525">
                            <a:noFill/>
                            <a:miter lim="800000"/>
                            <a:headEnd/>
                            <a:tailEnd/>
                          </a:ln>
                        </pic:spPr>
                      </pic:pic>
                    </a:graphicData>
                  </a:graphic>
                </wp:inline>
              </w:drawing>
            </w:r>
          </w:p>
        </w:tc>
        <w:tc>
          <w:tcPr>
            <w:tcW w:w="3402" w:type="dxa"/>
            <w:tcBorders>
              <w:left w:val="nil"/>
              <w:right w:val="nil"/>
            </w:tcBorders>
            <w:shd w:val="clear" w:color="auto" w:fill="D3DFEE"/>
          </w:tcPr>
          <w:p w:rsidR="00017393" w:rsidRDefault="00017393" w:rsidP="00CF5F48">
            <w:pPr>
              <w:pStyle w:val="a3"/>
              <w:numPr>
                <w:ilvl w:val="0"/>
                <w:numId w:val="2"/>
              </w:numPr>
              <w:spacing w:after="0" w:line="240" w:lineRule="auto"/>
              <w:ind w:left="459"/>
            </w:pPr>
            <w:r w:rsidRPr="00CF5F48">
              <w:t xml:space="preserve">Γραφειοκρατικές </w:t>
            </w:r>
            <w:r>
              <w:t>και μ</w:t>
            </w:r>
            <w:r w:rsidRPr="00CF5F48">
              <w:t>η-αυτοματοποιημένες διαδικασίες</w:t>
            </w:r>
            <w:r>
              <w:t xml:space="preserve"> (κίνδυνος εξωγενών παρεμβάσεων)</w:t>
            </w:r>
          </w:p>
          <w:p w:rsidR="00017393" w:rsidRPr="00CF5F48" w:rsidRDefault="00017393" w:rsidP="00CF5F48">
            <w:pPr>
              <w:pStyle w:val="a3"/>
              <w:numPr>
                <w:ilvl w:val="0"/>
                <w:numId w:val="2"/>
              </w:numPr>
              <w:spacing w:after="0" w:line="240" w:lineRule="auto"/>
              <w:ind w:left="459"/>
            </w:pPr>
            <w:r w:rsidRPr="00CF5F48">
              <w:t>Απουσία ολοκληρωμένου πληροφοριακού συστήματος (ΟΠΣ)</w:t>
            </w:r>
          </w:p>
          <w:p w:rsidR="00017393" w:rsidRPr="00CF5F48" w:rsidRDefault="00017393" w:rsidP="00CF5F48">
            <w:pPr>
              <w:pStyle w:val="a3"/>
              <w:numPr>
                <w:ilvl w:val="0"/>
                <w:numId w:val="2"/>
              </w:numPr>
              <w:spacing w:after="0" w:line="240" w:lineRule="auto"/>
              <w:ind w:left="459"/>
            </w:pPr>
            <w:r w:rsidRPr="00CF5F48">
              <w:t>Εκ των προτέρων έλεγχοι και ελλειμματική εκ των υστέρων εποπτεία</w:t>
            </w:r>
          </w:p>
        </w:tc>
        <w:tc>
          <w:tcPr>
            <w:tcW w:w="5327" w:type="dxa"/>
            <w:tcBorders>
              <w:left w:val="nil"/>
            </w:tcBorders>
            <w:shd w:val="clear" w:color="auto" w:fill="D3DFEE"/>
          </w:tcPr>
          <w:p w:rsidR="00017393" w:rsidRPr="00CF5F48" w:rsidRDefault="00017393" w:rsidP="00CF5F48">
            <w:pPr>
              <w:pStyle w:val="a3"/>
              <w:numPr>
                <w:ilvl w:val="0"/>
                <w:numId w:val="2"/>
              </w:numPr>
              <w:spacing w:after="0" w:line="240" w:lineRule="auto"/>
              <w:ind w:left="459"/>
            </w:pPr>
            <w:r w:rsidRPr="00CF5F48">
              <w:t>Ευέλικτα εργαλεία</w:t>
            </w:r>
          </w:p>
          <w:p w:rsidR="00017393" w:rsidRPr="00CF5F48" w:rsidRDefault="00017393" w:rsidP="00CF5F48">
            <w:pPr>
              <w:pStyle w:val="a3"/>
              <w:spacing w:after="0" w:line="240" w:lineRule="auto"/>
              <w:ind w:left="459"/>
            </w:pPr>
            <w:r w:rsidRPr="00CF5F48">
              <w:t>Στόχευση σε κριτήρια κινδύνου για το δημόσιο συμφέρον (</w:t>
            </w:r>
            <w:r>
              <w:t>πχ</w:t>
            </w:r>
            <w:r w:rsidRPr="00CF5F48">
              <w:t xml:space="preserve"> </w:t>
            </w:r>
            <w:r>
              <w:t xml:space="preserve">για τη </w:t>
            </w:r>
            <w:r w:rsidRPr="00CF5F48">
              <w:t xml:space="preserve">δημόσια υγεία και </w:t>
            </w:r>
            <w:r>
              <w:t xml:space="preserve">το </w:t>
            </w:r>
            <w:r w:rsidRPr="00CF5F48">
              <w:t>περιβάλλον)</w:t>
            </w:r>
          </w:p>
          <w:p w:rsidR="00017393" w:rsidRPr="00CF5F48" w:rsidRDefault="00017393" w:rsidP="00CF5F48">
            <w:pPr>
              <w:pStyle w:val="a3"/>
              <w:spacing w:after="0" w:line="240" w:lineRule="auto"/>
              <w:ind w:left="459"/>
            </w:pPr>
            <w:r w:rsidRPr="00CF5F48">
              <w:t xml:space="preserve">Στόχευση σε είδος και μέγεθος οικον. </w:t>
            </w:r>
            <w:r>
              <w:t>δ</w:t>
            </w:r>
            <w:r w:rsidRPr="00CF5F48">
              <w:t>ραστηριότητας</w:t>
            </w:r>
          </w:p>
          <w:p w:rsidR="00017393" w:rsidRPr="00CF5F48" w:rsidRDefault="00017393" w:rsidP="00CF5F48">
            <w:pPr>
              <w:pStyle w:val="a3"/>
              <w:numPr>
                <w:ilvl w:val="0"/>
                <w:numId w:val="2"/>
              </w:numPr>
              <w:spacing w:after="0" w:line="240" w:lineRule="auto"/>
              <w:ind w:left="459"/>
            </w:pPr>
            <w:r w:rsidRPr="00CF5F48">
              <w:t xml:space="preserve">Αυτοματοποίηση διαδικασιών κάτω από την ομπρέλα  ολοκληρωμένης στρατηγικής σε όλη την αλυσίδα αδειοδότησης (γνωστοποίηση/έγκριση, διαχείριση εγκρίσεων, ελέγχων). </w:t>
            </w:r>
          </w:p>
          <w:p w:rsidR="00017393" w:rsidRPr="00CF5F48" w:rsidRDefault="00017393" w:rsidP="00CF5F48">
            <w:pPr>
              <w:pStyle w:val="a3"/>
              <w:spacing w:after="0" w:line="240" w:lineRule="auto"/>
              <w:ind w:left="459"/>
            </w:pPr>
            <w:r w:rsidRPr="00CF5F48">
              <w:t>Δυνατότητα υποβολής ηλεκτρονικού αιτήματος για έναρξη επιχειρηματικής δραστηριότητας.</w:t>
            </w:r>
          </w:p>
          <w:p w:rsidR="00017393" w:rsidRPr="00CF5F48" w:rsidRDefault="00017393" w:rsidP="00CF5F48">
            <w:pPr>
              <w:pStyle w:val="a3"/>
              <w:numPr>
                <w:ilvl w:val="0"/>
                <w:numId w:val="2"/>
              </w:numPr>
              <w:spacing w:after="0" w:line="240" w:lineRule="auto"/>
              <w:ind w:left="459"/>
            </w:pPr>
            <w:r w:rsidRPr="00CF5F48">
              <w:t xml:space="preserve">Εισαγωγή ΟΠΣ με σκοπό: </w:t>
            </w:r>
          </w:p>
          <w:p w:rsidR="00017393" w:rsidRPr="00CF5F48" w:rsidRDefault="00017393" w:rsidP="00CF5F48">
            <w:pPr>
              <w:pStyle w:val="a3"/>
              <w:numPr>
                <w:ilvl w:val="1"/>
                <w:numId w:val="2"/>
              </w:numPr>
              <w:spacing w:after="0" w:line="240" w:lineRule="auto"/>
              <w:ind w:left="884"/>
            </w:pPr>
            <w:r w:rsidRPr="00CF5F48">
              <w:t>Τη μείωση του διοικητικού βάρους</w:t>
            </w:r>
          </w:p>
          <w:p w:rsidR="00017393" w:rsidRDefault="00017393" w:rsidP="00CF5F48">
            <w:pPr>
              <w:pStyle w:val="a3"/>
              <w:numPr>
                <w:ilvl w:val="1"/>
                <w:numId w:val="2"/>
              </w:numPr>
              <w:spacing w:after="0" w:line="240" w:lineRule="auto"/>
              <w:ind w:left="884"/>
            </w:pPr>
            <w:r w:rsidRPr="00CF5F48">
              <w:t>Τον αποτελεσματικότερο έλεγχο</w:t>
            </w:r>
          </w:p>
          <w:p w:rsidR="00017393" w:rsidRPr="00CF5F48" w:rsidRDefault="00017393" w:rsidP="00CF5F48">
            <w:pPr>
              <w:pStyle w:val="a3"/>
              <w:numPr>
                <w:ilvl w:val="1"/>
                <w:numId w:val="2"/>
              </w:numPr>
              <w:spacing w:after="0" w:line="240" w:lineRule="auto"/>
              <w:ind w:left="884"/>
            </w:pPr>
            <w:r>
              <w:t>Την ελαχιστοποίηση διακριτικής εξωγενούς παρέμβασης</w:t>
            </w:r>
          </w:p>
          <w:p w:rsidR="00017393" w:rsidRPr="00CF5F48" w:rsidRDefault="00017393" w:rsidP="00CF5F48">
            <w:pPr>
              <w:pStyle w:val="a3"/>
              <w:numPr>
                <w:ilvl w:val="0"/>
                <w:numId w:val="2"/>
              </w:numPr>
              <w:spacing w:after="0" w:line="240" w:lineRule="auto"/>
              <w:ind w:left="459"/>
            </w:pPr>
            <w:r w:rsidRPr="00CF5F48">
              <w:t xml:space="preserve">Πυλώνες εκ των υστέρων εποπτείας με βάση: επιτόπια αυτοψία, συστάσεις και παροχή κατευθυντήριων γραμμών συμμόρφωσης. </w:t>
            </w:r>
          </w:p>
          <w:p w:rsidR="00017393" w:rsidRPr="00CF5F48" w:rsidRDefault="00017393" w:rsidP="00CF5F48">
            <w:pPr>
              <w:pStyle w:val="a3"/>
              <w:spacing w:after="0" w:line="240" w:lineRule="auto"/>
              <w:ind w:left="459"/>
            </w:pPr>
            <w:r w:rsidRPr="00CF5F48">
              <w:t>Έλεγχοι δειγματοληπτικοί με βάση εκτίμηση ρίσκου οικον. δραστηριότητας.</w:t>
            </w:r>
          </w:p>
        </w:tc>
      </w:tr>
      <w:tr w:rsidR="00017393" w:rsidRPr="00CF5F48" w:rsidTr="00CF5F48">
        <w:trPr>
          <w:jc w:val="center"/>
        </w:trPr>
        <w:tc>
          <w:tcPr>
            <w:tcW w:w="1841" w:type="dxa"/>
            <w:tcBorders>
              <w:right w:val="nil"/>
            </w:tcBorders>
          </w:tcPr>
          <w:p w:rsidR="00017393" w:rsidRPr="00CF5F48" w:rsidRDefault="00017393" w:rsidP="00CF5F48">
            <w:pPr>
              <w:pStyle w:val="a3"/>
              <w:spacing w:after="0" w:line="240" w:lineRule="auto"/>
              <w:ind w:left="0"/>
              <w:jc w:val="both"/>
              <w:rPr>
                <w:b/>
                <w:bCs/>
              </w:rPr>
            </w:pPr>
            <w:r w:rsidRPr="00CF5F48">
              <w:rPr>
                <w:b/>
                <w:bCs/>
              </w:rPr>
              <w:t xml:space="preserve">Επικάλυψη Αρμοδιοτήτων </w:t>
            </w:r>
          </w:p>
          <w:p w:rsidR="00017393" w:rsidRPr="00CF5F48" w:rsidRDefault="00017393" w:rsidP="00CF5F48">
            <w:pPr>
              <w:pStyle w:val="a3"/>
              <w:spacing w:after="0" w:line="240" w:lineRule="auto"/>
              <w:ind w:left="0"/>
              <w:jc w:val="right"/>
              <w:rPr>
                <w:b/>
                <w:bCs/>
              </w:rPr>
            </w:pPr>
          </w:p>
          <w:p w:rsidR="00017393" w:rsidRPr="00CF5F48" w:rsidRDefault="009B058E" w:rsidP="00CF5F48">
            <w:pPr>
              <w:pStyle w:val="a3"/>
              <w:spacing w:after="0" w:line="240" w:lineRule="auto"/>
              <w:ind w:left="0"/>
              <w:jc w:val="right"/>
              <w:rPr>
                <w:b/>
                <w:bCs/>
              </w:rPr>
            </w:pPr>
            <w:r>
              <w:rPr>
                <w:b/>
                <w:noProof/>
                <w:lang w:eastAsia="el-GR"/>
              </w:rPr>
              <w:drawing>
                <wp:inline distT="0" distB="0" distL="0" distR="0">
                  <wp:extent cx="533400" cy="533400"/>
                  <wp:effectExtent l="19050" t="0" r="0" b="0"/>
                  <wp:docPr id="5" name="4 - Εικόνα" descr="overl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Εικόνα" descr="overlap.png"/>
                          <pic:cNvPicPr>
                            <a:picLocks noChangeAspect="1" noChangeArrowheads="1"/>
                          </pic:cNvPicPr>
                        </pic:nvPicPr>
                        <pic:blipFill>
                          <a:blip r:embed="rId11"/>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3402" w:type="dxa"/>
            <w:tcBorders>
              <w:left w:val="nil"/>
              <w:right w:val="nil"/>
            </w:tcBorders>
          </w:tcPr>
          <w:p w:rsidR="00017393" w:rsidRPr="00CF5F48" w:rsidRDefault="00017393" w:rsidP="00CF5F48">
            <w:pPr>
              <w:pStyle w:val="a3"/>
              <w:numPr>
                <w:ilvl w:val="0"/>
                <w:numId w:val="2"/>
              </w:numPr>
              <w:spacing w:after="0" w:line="240" w:lineRule="auto"/>
              <w:ind w:left="459"/>
            </w:pPr>
            <w:r w:rsidRPr="00CF5F48">
              <w:t>Συχνή αλληλοεπικάλυψη αρμοδιοτήτων μεταξύ Αρχών</w:t>
            </w:r>
          </w:p>
          <w:p w:rsidR="00017393" w:rsidRPr="00CF5F48" w:rsidRDefault="00017393" w:rsidP="00CF5F48">
            <w:pPr>
              <w:spacing w:after="0" w:line="240" w:lineRule="auto"/>
            </w:pPr>
          </w:p>
        </w:tc>
        <w:tc>
          <w:tcPr>
            <w:tcW w:w="5327" w:type="dxa"/>
            <w:tcBorders>
              <w:left w:val="nil"/>
            </w:tcBorders>
          </w:tcPr>
          <w:p w:rsidR="00017393" w:rsidRPr="00CF5F48" w:rsidRDefault="00017393" w:rsidP="00CF5F48">
            <w:pPr>
              <w:pStyle w:val="a3"/>
              <w:numPr>
                <w:ilvl w:val="0"/>
                <w:numId w:val="2"/>
              </w:numPr>
              <w:spacing w:after="0" w:line="240" w:lineRule="auto"/>
              <w:ind w:left="459"/>
            </w:pPr>
            <w:r>
              <w:t>Εξάλειψη αλληλοεπικαλύψεων</w:t>
            </w:r>
            <w:r w:rsidRPr="00CF5F48">
              <w:t xml:space="preserve"> αρμοδιοτήτων </w:t>
            </w:r>
            <w:r>
              <w:t>και διπλών ελέγχων</w:t>
            </w:r>
          </w:p>
        </w:tc>
      </w:tr>
      <w:tr w:rsidR="00017393" w:rsidRPr="00CF5F48" w:rsidTr="00CF5F48">
        <w:trPr>
          <w:jc w:val="center"/>
        </w:trPr>
        <w:tc>
          <w:tcPr>
            <w:tcW w:w="1841" w:type="dxa"/>
            <w:tcBorders>
              <w:right w:val="nil"/>
            </w:tcBorders>
            <w:shd w:val="clear" w:color="auto" w:fill="D3DFEE"/>
          </w:tcPr>
          <w:p w:rsidR="00017393" w:rsidRPr="00CF5F48" w:rsidRDefault="00017393" w:rsidP="00CF5F48">
            <w:pPr>
              <w:pStyle w:val="a3"/>
              <w:spacing w:after="0" w:line="240" w:lineRule="auto"/>
              <w:ind w:left="0"/>
              <w:jc w:val="both"/>
              <w:rPr>
                <w:b/>
                <w:bCs/>
              </w:rPr>
            </w:pPr>
            <w:r w:rsidRPr="00CF5F48">
              <w:rPr>
                <w:b/>
                <w:bCs/>
              </w:rPr>
              <w:t>Ειδικότερες Αλλαγές</w:t>
            </w:r>
          </w:p>
          <w:p w:rsidR="00017393" w:rsidRPr="00CF5F48" w:rsidRDefault="009B058E" w:rsidP="00CF5F48">
            <w:pPr>
              <w:pStyle w:val="a3"/>
              <w:spacing w:after="0" w:line="240" w:lineRule="auto"/>
              <w:ind w:left="0"/>
              <w:jc w:val="right"/>
              <w:rPr>
                <w:b/>
                <w:bCs/>
              </w:rPr>
            </w:pPr>
            <w:r>
              <w:rPr>
                <w:b/>
                <w:noProof/>
                <w:lang w:eastAsia="el-GR"/>
              </w:rPr>
              <w:drawing>
                <wp:inline distT="0" distB="0" distL="0" distR="0">
                  <wp:extent cx="620395" cy="489585"/>
                  <wp:effectExtent l="19050" t="0" r="8255" b="0"/>
                  <wp:docPr id="6" name="5 - Εικόνα" descr="chan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 Εικόνα" descr="changes.png"/>
                          <pic:cNvPicPr>
                            <a:picLocks noChangeAspect="1" noChangeArrowheads="1"/>
                          </pic:cNvPicPr>
                        </pic:nvPicPr>
                        <pic:blipFill>
                          <a:blip r:embed="rId12"/>
                          <a:srcRect/>
                          <a:stretch>
                            <a:fillRect/>
                          </a:stretch>
                        </pic:blipFill>
                        <pic:spPr bwMode="auto">
                          <a:xfrm>
                            <a:off x="0" y="0"/>
                            <a:ext cx="620395" cy="489585"/>
                          </a:xfrm>
                          <a:prstGeom prst="rect">
                            <a:avLst/>
                          </a:prstGeom>
                          <a:noFill/>
                          <a:ln w="9525">
                            <a:noFill/>
                            <a:miter lim="800000"/>
                            <a:headEnd/>
                            <a:tailEnd/>
                          </a:ln>
                        </pic:spPr>
                      </pic:pic>
                    </a:graphicData>
                  </a:graphic>
                </wp:inline>
              </w:drawing>
            </w:r>
          </w:p>
        </w:tc>
        <w:tc>
          <w:tcPr>
            <w:tcW w:w="3402" w:type="dxa"/>
            <w:tcBorders>
              <w:left w:val="nil"/>
              <w:right w:val="nil"/>
            </w:tcBorders>
            <w:shd w:val="clear" w:color="auto" w:fill="D3DFEE"/>
          </w:tcPr>
          <w:p w:rsidR="00017393" w:rsidRPr="00CF5F48" w:rsidRDefault="00017393" w:rsidP="00CF5F48">
            <w:pPr>
              <w:pStyle w:val="a3"/>
              <w:numPr>
                <w:ilvl w:val="0"/>
                <w:numId w:val="2"/>
              </w:numPr>
              <w:spacing w:after="0" w:line="240" w:lineRule="auto"/>
              <w:ind w:left="459"/>
            </w:pPr>
            <w:r w:rsidRPr="00CF5F48">
              <w:t xml:space="preserve">Υπερβολικές αδειοδοτικές </w:t>
            </w:r>
            <w:r>
              <w:t>διατυπώσεις</w:t>
            </w:r>
          </w:p>
          <w:p w:rsidR="00017393" w:rsidRPr="00CF5F48" w:rsidRDefault="00017393" w:rsidP="00CF5F48">
            <w:pPr>
              <w:pStyle w:val="a3"/>
              <w:numPr>
                <w:ilvl w:val="0"/>
                <w:numId w:val="2"/>
              </w:numPr>
              <w:spacing w:after="0" w:line="240" w:lineRule="auto"/>
              <w:ind w:left="459"/>
            </w:pPr>
            <w:r w:rsidRPr="00CF5F48">
              <w:t>Κατάθεση δικαιολογητικών στην Υπηρεσία εξ αρχής</w:t>
            </w:r>
          </w:p>
          <w:p w:rsidR="00017393" w:rsidRPr="00CF5F48" w:rsidRDefault="00017393" w:rsidP="00CF5F48">
            <w:pPr>
              <w:pStyle w:val="a3"/>
              <w:numPr>
                <w:ilvl w:val="0"/>
                <w:numId w:val="2"/>
              </w:numPr>
              <w:spacing w:after="0" w:line="240" w:lineRule="auto"/>
              <w:ind w:left="459"/>
            </w:pPr>
            <w:r>
              <w:t>Ασαφείς και δαιδαλώδεις διαδικασίες αδειοδότησης</w:t>
            </w:r>
          </w:p>
          <w:p w:rsidR="00017393" w:rsidRPr="00CF5F48" w:rsidRDefault="00017393" w:rsidP="00CF5F48">
            <w:pPr>
              <w:pStyle w:val="a3"/>
              <w:numPr>
                <w:ilvl w:val="0"/>
                <w:numId w:val="2"/>
              </w:numPr>
              <w:spacing w:after="0" w:line="240" w:lineRule="auto"/>
              <w:ind w:left="459"/>
            </w:pPr>
            <w:r w:rsidRPr="00CF5F48">
              <w:t>Επαναλαμβανόμενη καταβολή παραβόλων (σε ετήσια βάση, χωρίς διαβάθμιση)</w:t>
            </w:r>
          </w:p>
          <w:p w:rsidR="00017393" w:rsidRPr="00CF5F48" w:rsidRDefault="00017393" w:rsidP="00CF5F48">
            <w:pPr>
              <w:pStyle w:val="a3"/>
              <w:numPr>
                <w:ilvl w:val="0"/>
                <w:numId w:val="2"/>
              </w:numPr>
              <w:spacing w:after="0" w:line="240" w:lineRule="auto"/>
              <w:ind w:left="459"/>
            </w:pPr>
            <w:r w:rsidRPr="00CF5F48">
              <w:t xml:space="preserve">Απουσία διαλειτουργικότητας </w:t>
            </w:r>
            <w:r>
              <w:t>πληροφοριακών συστημάτων</w:t>
            </w:r>
          </w:p>
        </w:tc>
        <w:tc>
          <w:tcPr>
            <w:tcW w:w="5327" w:type="dxa"/>
            <w:tcBorders>
              <w:left w:val="nil"/>
            </w:tcBorders>
            <w:shd w:val="clear" w:color="auto" w:fill="D3DFEE"/>
          </w:tcPr>
          <w:p w:rsidR="00017393" w:rsidRPr="00CF5F48" w:rsidRDefault="00017393" w:rsidP="00CF5F48">
            <w:pPr>
              <w:pStyle w:val="a3"/>
              <w:numPr>
                <w:ilvl w:val="0"/>
                <w:numId w:val="2"/>
              </w:numPr>
              <w:spacing w:after="0" w:line="240" w:lineRule="auto"/>
              <w:ind w:left="459"/>
            </w:pPr>
            <w:r w:rsidRPr="00CF5F48">
              <w:t xml:space="preserve">Κατάργηση </w:t>
            </w:r>
            <w:r>
              <w:t>περιττών</w:t>
            </w:r>
            <w:r w:rsidRPr="00CF5F48">
              <w:t xml:space="preserve"> αδειοδοτικών προϋποθέσεων</w:t>
            </w:r>
          </w:p>
          <w:p w:rsidR="00017393" w:rsidRPr="00CF5F48" w:rsidRDefault="00017393" w:rsidP="00CF5F48">
            <w:pPr>
              <w:pStyle w:val="a3"/>
              <w:numPr>
                <w:ilvl w:val="0"/>
                <w:numId w:val="2"/>
              </w:numPr>
              <w:spacing w:after="0" w:line="240" w:lineRule="auto"/>
              <w:ind w:left="459"/>
              <w:rPr>
                <w:u w:val="single"/>
              </w:rPr>
            </w:pPr>
            <w:r w:rsidRPr="00CF5F48">
              <w:t xml:space="preserve">Ανακοίνωση έναρξης λειτουργίας στις αρμόδιες αρχές χωρίς την προσκόμιση δικαιολογητικών. </w:t>
            </w:r>
            <w:r w:rsidRPr="00CF5F48">
              <w:rPr>
                <w:u w:val="single"/>
              </w:rPr>
              <w:t>Τα απαιτούμενα δικαιολογητικά τηρούνται στο αρχείο της επιχείρησης και είναι διαθέσιμα στις ελεγκτικές αρχές.</w:t>
            </w:r>
          </w:p>
          <w:p w:rsidR="00017393" w:rsidRPr="00CF5F48" w:rsidRDefault="00017393" w:rsidP="00CF5F48">
            <w:pPr>
              <w:pStyle w:val="a3"/>
              <w:numPr>
                <w:ilvl w:val="0"/>
                <w:numId w:val="2"/>
              </w:numPr>
              <w:spacing w:after="0" w:line="240" w:lineRule="auto"/>
              <w:ind w:left="459"/>
            </w:pPr>
            <w:r w:rsidRPr="00CF5F48">
              <w:t xml:space="preserve">Σύνδεση οικον. δραστηριότητας (επί </w:t>
            </w:r>
            <w:r>
              <w:t xml:space="preserve">τη </w:t>
            </w:r>
            <w:r w:rsidRPr="00CF5F48">
              <w:t>βάσ</w:t>
            </w:r>
            <w:r>
              <w:t>ει</w:t>
            </w:r>
            <w:r w:rsidRPr="00CF5F48">
              <w:t xml:space="preserve"> εκτίμησης κινδύνου) με αδειοδοτικά σχήματα:</w:t>
            </w:r>
          </w:p>
          <w:p w:rsidR="00017393" w:rsidRPr="00CF5F48" w:rsidRDefault="00017393" w:rsidP="00CF5F48">
            <w:pPr>
              <w:pStyle w:val="a3"/>
              <w:numPr>
                <w:ilvl w:val="1"/>
                <w:numId w:val="2"/>
              </w:numPr>
              <w:spacing w:after="0" w:line="240" w:lineRule="auto"/>
              <w:ind w:left="884"/>
            </w:pPr>
            <w:r w:rsidRPr="00CF5F48">
              <w:t>Ελεύθερη άσκηση οικονομικής δραστηριότητας</w:t>
            </w:r>
          </w:p>
          <w:p w:rsidR="00017393" w:rsidRPr="00CF5F48" w:rsidRDefault="00017393" w:rsidP="00CF5F48">
            <w:pPr>
              <w:pStyle w:val="a3"/>
              <w:numPr>
                <w:ilvl w:val="1"/>
                <w:numId w:val="2"/>
              </w:numPr>
              <w:spacing w:after="0" w:line="240" w:lineRule="auto"/>
              <w:ind w:left="884"/>
            </w:pPr>
            <w:r w:rsidRPr="00CF5F48">
              <w:t>Γνωστοποίηση</w:t>
            </w:r>
          </w:p>
          <w:p w:rsidR="00017393" w:rsidRPr="00CF5F48" w:rsidRDefault="00017393" w:rsidP="00CF5F48">
            <w:pPr>
              <w:pStyle w:val="a3"/>
              <w:numPr>
                <w:ilvl w:val="1"/>
                <w:numId w:val="2"/>
              </w:numPr>
              <w:spacing w:after="0" w:line="240" w:lineRule="auto"/>
              <w:ind w:left="884"/>
            </w:pPr>
            <w:r w:rsidRPr="00CF5F48">
              <w:t>Έγκριση</w:t>
            </w:r>
          </w:p>
          <w:p w:rsidR="00017393" w:rsidRPr="00CF5F48" w:rsidRDefault="00017393" w:rsidP="00CF5F48">
            <w:pPr>
              <w:pStyle w:val="a3"/>
              <w:numPr>
                <w:ilvl w:val="0"/>
                <w:numId w:val="2"/>
              </w:numPr>
              <w:spacing w:after="0" w:line="240" w:lineRule="auto"/>
              <w:ind w:left="459"/>
            </w:pPr>
            <w:r w:rsidRPr="00CF5F48">
              <w:t>Άπαξ καταβολή παραβόλου και εξαίρεση αυτού για εκείνες που ασκούνται ελεύθερα.</w:t>
            </w:r>
          </w:p>
          <w:p w:rsidR="00017393" w:rsidRPr="00CF5F48" w:rsidRDefault="00017393" w:rsidP="00CF5F48">
            <w:pPr>
              <w:pStyle w:val="a3"/>
              <w:numPr>
                <w:ilvl w:val="0"/>
                <w:numId w:val="2"/>
              </w:numPr>
              <w:spacing w:after="0" w:line="240" w:lineRule="auto"/>
              <w:ind w:left="459"/>
            </w:pPr>
            <w:proofErr w:type="spellStart"/>
            <w:r w:rsidRPr="00CF5F48">
              <w:t>Διαλειτουργικότητα</w:t>
            </w:r>
            <w:proofErr w:type="spellEnd"/>
            <w:r w:rsidRPr="00CF5F48">
              <w:t xml:space="preserve"> ΟΠΣ με ΓΕΜΗ</w:t>
            </w:r>
            <w:r>
              <w:t xml:space="preserve"> και </w:t>
            </w:r>
            <w:proofErr w:type="spellStart"/>
            <w:r>
              <w:rPr>
                <w:lang w:val="en-US"/>
              </w:rPr>
              <w:t>taxisnet</w:t>
            </w:r>
            <w:proofErr w:type="spellEnd"/>
          </w:p>
        </w:tc>
      </w:tr>
      <w:tr w:rsidR="00017393" w:rsidRPr="00CF5F48" w:rsidTr="00CF5F48">
        <w:trPr>
          <w:jc w:val="center"/>
        </w:trPr>
        <w:tc>
          <w:tcPr>
            <w:tcW w:w="1841" w:type="dxa"/>
            <w:tcBorders>
              <w:right w:val="nil"/>
            </w:tcBorders>
          </w:tcPr>
          <w:p w:rsidR="00017393" w:rsidRPr="00CF5F48" w:rsidRDefault="00017393" w:rsidP="00CF5F48">
            <w:pPr>
              <w:pStyle w:val="a3"/>
              <w:spacing w:after="0" w:line="240" w:lineRule="auto"/>
              <w:ind w:left="0"/>
              <w:jc w:val="both"/>
              <w:rPr>
                <w:b/>
                <w:bCs/>
              </w:rPr>
            </w:pPr>
            <w:r w:rsidRPr="00CF5F48">
              <w:rPr>
                <w:b/>
                <w:bCs/>
              </w:rPr>
              <w:t>Τρόφιμα και Ποτά</w:t>
            </w:r>
          </w:p>
          <w:p w:rsidR="00017393" w:rsidRPr="00CF5F48" w:rsidRDefault="009B058E" w:rsidP="00CF5F48">
            <w:pPr>
              <w:pStyle w:val="a3"/>
              <w:spacing w:after="0" w:line="240" w:lineRule="auto"/>
              <w:ind w:left="0"/>
              <w:jc w:val="right"/>
              <w:rPr>
                <w:b/>
                <w:bCs/>
              </w:rPr>
            </w:pPr>
            <w:r>
              <w:rPr>
                <w:b/>
                <w:noProof/>
                <w:lang w:eastAsia="el-GR"/>
              </w:rPr>
              <w:drawing>
                <wp:inline distT="0" distB="0" distL="0" distR="0">
                  <wp:extent cx="641985" cy="641985"/>
                  <wp:effectExtent l="19050" t="0" r="5715" b="0"/>
                  <wp:docPr id="7" name="0 - Εικόνα" descr="drink-food-win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drink-food-wine-512.png"/>
                          <pic:cNvPicPr>
                            <a:picLocks noChangeAspect="1" noChangeArrowheads="1"/>
                          </pic:cNvPicPr>
                        </pic:nvPicPr>
                        <pic:blipFill>
                          <a:blip r:embed="rId13"/>
                          <a:srcRect/>
                          <a:stretch>
                            <a:fillRect/>
                          </a:stretch>
                        </pic:blipFill>
                        <pic:spPr bwMode="auto">
                          <a:xfrm>
                            <a:off x="0" y="0"/>
                            <a:ext cx="641985" cy="641985"/>
                          </a:xfrm>
                          <a:prstGeom prst="rect">
                            <a:avLst/>
                          </a:prstGeom>
                          <a:noFill/>
                          <a:ln w="9525">
                            <a:noFill/>
                            <a:miter lim="800000"/>
                            <a:headEnd/>
                            <a:tailEnd/>
                          </a:ln>
                        </pic:spPr>
                      </pic:pic>
                    </a:graphicData>
                  </a:graphic>
                </wp:inline>
              </w:drawing>
            </w:r>
          </w:p>
        </w:tc>
        <w:tc>
          <w:tcPr>
            <w:tcW w:w="3402" w:type="dxa"/>
            <w:tcBorders>
              <w:left w:val="nil"/>
              <w:right w:val="nil"/>
            </w:tcBorders>
          </w:tcPr>
          <w:p w:rsidR="00017393" w:rsidRPr="00CF5F48" w:rsidRDefault="00017393" w:rsidP="00CF5F48">
            <w:pPr>
              <w:pStyle w:val="a3"/>
              <w:numPr>
                <w:ilvl w:val="0"/>
                <w:numId w:val="2"/>
              </w:numPr>
              <w:spacing w:after="0" w:line="240" w:lineRule="auto"/>
              <w:ind w:left="459"/>
            </w:pPr>
            <w:r w:rsidRPr="00CF5F48">
              <w:t xml:space="preserve">Ανάγκη βεβαίωσης καταλληλότητας </w:t>
            </w:r>
          </w:p>
          <w:p w:rsidR="00017393" w:rsidRPr="00CF5F48" w:rsidRDefault="00017393" w:rsidP="00CF5F48">
            <w:pPr>
              <w:pStyle w:val="a3"/>
              <w:numPr>
                <w:ilvl w:val="0"/>
                <w:numId w:val="2"/>
              </w:numPr>
              <w:spacing w:after="0" w:line="240" w:lineRule="auto"/>
              <w:ind w:left="459"/>
            </w:pPr>
            <w:r w:rsidRPr="00CF5F48">
              <w:t>Υποχρέωση λήψης σύμφωνης γνώμης υγειονομικής καταλληλότητας</w:t>
            </w:r>
          </w:p>
          <w:p w:rsidR="00017393" w:rsidRPr="00CF5F48" w:rsidRDefault="00017393" w:rsidP="00CF5F48">
            <w:pPr>
              <w:pStyle w:val="a3"/>
              <w:numPr>
                <w:ilvl w:val="0"/>
                <w:numId w:val="2"/>
              </w:numPr>
              <w:spacing w:after="0" w:line="240" w:lineRule="auto"/>
              <w:ind w:left="459"/>
            </w:pPr>
            <w:r w:rsidRPr="00CF5F48">
              <w:t>Υποχρέωση λήψης βεβαίωσης συνδρομής νομίμων προϋποθέσεων</w:t>
            </w:r>
            <w:r w:rsidRPr="00CF5F48">
              <w:rPr>
                <w:rStyle w:val="a7"/>
              </w:rPr>
              <w:footnoteReference w:id="1"/>
            </w:r>
          </w:p>
        </w:tc>
        <w:tc>
          <w:tcPr>
            <w:tcW w:w="5327" w:type="dxa"/>
            <w:tcBorders>
              <w:left w:val="nil"/>
            </w:tcBorders>
          </w:tcPr>
          <w:p w:rsidR="00017393" w:rsidRPr="003A4DBC" w:rsidRDefault="00017393" w:rsidP="003A4DBC">
            <w:pPr>
              <w:pStyle w:val="a3"/>
              <w:numPr>
                <w:ilvl w:val="0"/>
                <w:numId w:val="2"/>
              </w:numPr>
              <w:spacing w:after="0" w:line="240" w:lineRule="auto"/>
              <w:ind w:left="459"/>
            </w:pPr>
            <w:r w:rsidRPr="003A4DBC">
              <w:t>-</w:t>
            </w:r>
            <w:r w:rsidRPr="003A4DBC">
              <w:tab/>
              <w:t>Αντικατάσταση των περισσότερων αδειών λειτουργίας με «ΓΝΩΣΤΟΠΟΙΗΣΗ»</w:t>
            </w:r>
          </w:p>
          <w:p w:rsidR="00017393" w:rsidRPr="003A4DBC" w:rsidRDefault="00017393" w:rsidP="003A4DBC">
            <w:pPr>
              <w:pStyle w:val="a3"/>
              <w:numPr>
                <w:ilvl w:val="0"/>
                <w:numId w:val="2"/>
              </w:numPr>
              <w:spacing w:after="0" w:line="240" w:lineRule="auto"/>
              <w:ind w:left="459"/>
            </w:pPr>
            <w:r w:rsidRPr="003A4DBC">
              <w:t>-</w:t>
            </w:r>
            <w:r w:rsidRPr="003A4DBC">
              <w:tab/>
              <w:t xml:space="preserve">Κατάργηση βεβαίωσης καταλληλότητας και σύμφωνης γνώμης υγειονομικής καταλληλότητας για τις δραστηριότητες μεταποίησης τροφίμων μη ζωικής προέλευσης </w:t>
            </w:r>
          </w:p>
          <w:p w:rsidR="00017393" w:rsidRPr="003A4DBC" w:rsidRDefault="00017393" w:rsidP="003A4DBC">
            <w:pPr>
              <w:pStyle w:val="a3"/>
              <w:numPr>
                <w:ilvl w:val="0"/>
                <w:numId w:val="2"/>
              </w:numPr>
              <w:spacing w:after="0" w:line="240" w:lineRule="auto"/>
              <w:ind w:left="459"/>
            </w:pPr>
            <w:r w:rsidRPr="003A4DBC">
              <w:t>-</w:t>
            </w:r>
            <w:r w:rsidRPr="003A4DBC">
              <w:tab/>
              <w:t xml:space="preserve">Κατάργηση άδειας ίδρυσης και άδειας λειτουργίας από την Κτηνιατρική αρχή για μεταποίηση τροφίμων ζωικής προέλευσης και αντικατάσταση από απλουστευμένη διαδικασία έγκρισης </w:t>
            </w:r>
          </w:p>
          <w:p w:rsidR="00017393" w:rsidRPr="00CF5F48" w:rsidRDefault="00017393" w:rsidP="00CF5F48">
            <w:pPr>
              <w:pStyle w:val="a3"/>
              <w:numPr>
                <w:ilvl w:val="0"/>
                <w:numId w:val="2"/>
              </w:numPr>
              <w:spacing w:after="0" w:line="240" w:lineRule="auto"/>
              <w:ind w:left="459"/>
            </w:pPr>
            <w:r w:rsidRPr="003A4DBC">
              <w:t>-</w:t>
            </w:r>
            <w:r w:rsidRPr="003A4DBC">
              <w:tab/>
              <w:t>Εκ των προτέρων έλεγχοι καταργούνται εκτός από τις περιπτώσεις μεταποίησης τροφίμων ζωικής προέλευσης και παραγωγής – εμφιάλωσης νερού</w:t>
            </w:r>
          </w:p>
        </w:tc>
      </w:tr>
      <w:tr w:rsidR="00017393" w:rsidRPr="00CF5F48" w:rsidTr="00CF5F48">
        <w:trPr>
          <w:jc w:val="center"/>
        </w:trPr>
        <w:tc>
          <w:tcPr>
            <w:tcW w:w="1841" w:type="dxa"/>
            <w:tcBorders>
              <w:right w:val="nil"/>
            </w:tcBorders>
            <w:shd w:val="clear" w:color="auto" w:fill="D3DFEE"/>
          </w:tcPr>
          <w:p w:rsidR="00017393" w:rsidRPr="00CF5F48" w:rsidRDefault="00017393" w:rsidP="00CF5F48">
            <w:pPr>
              <w:pStyle w:val="a3"/>
              <w:spacing w:after="0" w:line="240" w:lineRule="auto"/>
              <w:ind w:left="0"/>
              <w:jc w:val="both"/>
              <w:rPr>
                <w:b/>
                <w:bCs/>
              </w:rPr>
            </w:pPr>
            <w:r w:rsidRPr="00CF5F48">
              <w:rPr>
                <w:b/>
                <w:bCs/>
              </w:rPr>
              <w:t>Καταστήματα Υγειονομικού Ενδιαφέροντος (ΚΥΕ)</w:t>
            </w:r>
          </w:p>
          <w:p w:rsidR="00017393" w:rsidRPr="00CF5F48" w:rsidRDefault="009B058E" w:rsidP="00CF5F48">
            <w:pPr>
              <w:pStyle w:val="a3"/>
              <w:spacing w:after="0" w:line="240" w:lineRule="auto"/>
              <w:ind w:left="0"/>
              <w:jc w:val="right"/>
              <w:rPr>
                <w:b/>
                <w:bCs/>
              </w:rPr>
            </w:pPr>
            <w:r>
              <w:rPr>
                <w:b/>
                <w:noProof/>
                <w:lang w:eastAsia="el-GR"/>
              </w:rPr>
              <w:drawing>
                <wp:inline distT="0" distB="0" distL="0" distR="0">
                  <wp:extent cx="631190" cy="631190"/>
                  <wp:effectExtent l="19050" t="0" r="0" b="0"/>
                  <wp:docPr id="8" name="6 - Εικόνα" descr="vacation_29-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vacation_29-512.png"/>
                          <pic:cNvPicPr>
                            <a:picLocks noChangeAspect="1" noChangeArrowheads="1"/>
                          </pic:cNvPicPr>
                        </pic:nvPicPr>
                        <pic:blipFill>
                          <a:blip r:embed="rId14"/>
                          <a:srcRect/>
                          <a:stretch>
                            <a:fillRect/>
                          </a:stretch>
                        </pic:blipFill>
                        <pic:spPr bwMode="auto">
                          <a:xfrm>
                            <a:off x="0" y="0"/>
                            <a:ext cx="631190" cy="631190"/>
                          </a:xfrm>
                          <a:prstGeom prst="rect">
                            <a:avLst/>
                          </a:prstGeom>
                          <a:noFill/>
                          <a:ln w="9525">
                            <a:noFill/>
                            <a:miter lim="800000"/>
                            <a:headEnd/>
                            <a:tailEnd/>
                          </a:ln>
                        </pic:spPr>
                      </pic:pic>
                    </a:graphicData>
                  </a:graphic>
                </wp:inline>
              </w:drawing>
            </w:r>
          </w:p>
        </w:tc>
        <w:tc>
          <w:tcPr>
            <w:tcW w:w="3402" w:type="dxa"/>
            <w:tcBorders>
              <w:left w:val="nil"/>
              <w:right w:val="nil"/>
            </w:tcBorders>
            <w:shd w:val="clear" w:color="auto" w:fill="D3DFEE"/>
          </w:tcPr>
          <w:p w:rsidR="00017393" w:rsidRPr="00CF5F48" w:rsidRDefault="00017393" w:rsidP="00CF5F48">
            <w:pPr>
              <w:pStyle w:val="a3"/>
              <w:numPr>
                <w:ilvl w:val="0"/>
                <w:numId w:val="2"/>
              </w:numPr>
              <w:spacing w:after="0" w:line="240" w:lineRule="auto"/>
              <w:ind w:left="459"/>
            </w:pPr>
            <w:r w:rsidRPr="00CF5F48">
              <w:t xml:space="preserve">Καθεστώς «εκ των προτέρων» έγκρισης </w:t>
            </w:r>
          </w:p>
          <w:p w:rsidR="00017393" w:rsidRPr="00CF5F48" w:rsidRDefault="00017393" w:rsidP="00CF5F48">
            <w:pPr>
              <w:pStyle w:val="a3"/>
              <w:numPr>
                <w:ilvl w:val="0"/>
                <w:numId w:val="2"/>
              </w:numPr>
              <w:spacing w:after="0" w:line="240" w:lineRule="auto"/>
              <w:ind w:left="459"/>
            </w:pPr>
            <w:r w:rsidRPr="00CF5F48">
              <w:t xml:space="preserve">Υποχρέωση εκ των προτέρων άδειας χρήσης μουσικής και χρήσης μουσικών οργάνων από τον οικείο Δήμο </w:t>
            </w:r>
          </w:p>
        </w:tc>
        <w:tc>
          <w:tcPr>
            <w:tcW w:w="5327" w:type="dxa"/>
            <w:tcBorders>
              <w:left w:val="nil"/>
            </w:tcBorders>
            <w:shd w:val="clear" w:color="auto" w:fill="D3DFEE"/>
          </w:tcPr>
          <w:p w:rsidR="00017393" w:rsidRPr="003A4DBC" w:rsidRDefault="00017393" w:rsidP="003A4DBC">
            <w:pPr>
              <w:pStyle w:val="a3"/>
              <w:numPr>
                <w:ilvl w:val="0"/>
                <w:numId w:val="2"/>
              </w:numPr>
              <w:spacing w:after="0" w:line="240" w:lineRule="auto"/>
              <w:ind w:left="459"/>
            </w:pPr>
            <w:r w:rsidRPr="003A4DBC">
              <w:t>-</w:t>
            </w:r>
            <w:r w:rsidRPr="003A4DBC">
              <w:tab/>
              <w:t xml:space="preserve">Αντικατάσταση της διαδικασίας προέγκρισης με Βεβαίωση από αρμόδια δημοτική Υπηρεσία </w:t>
            </w:r>
          </w:p>
          <w:p w:rsidR="00017393" w:rsidRPr="003A4DBC" w:rsidRDefault="00017393" w:rsidP="003A4DBC">
            <w:pPr>
              <w:pStyle w:val="a3"/>
              <w:numPr>
                <w:ilvl w:val="0"/>
                <w:numId w:val="2"/>
              </w:numPr>
              <w:spacing w:after="0" w:line="240" w:lineRule="auto"/>
              <w:ind w:left="459"/>
            </w:pPr>
            <w:r w:rsidRPr="003A4DBC">
              <w:t>-</w:t>
            </w:r>
            <w:r w:rsidRPr="003A4DBC">
              <w:tab/>
              <w:t xml:space="preserve">Αντικατάσταση της άδειας λειτουργίας με «ΓΝΩΣΤΟΠΟΙΗΣΗ», χωρίς προσκόμιση δικαιολογητικών, τα οποία τηρούνται στην εγκατάσταση της επιχείρησης </w:t>
            </w:r>
          </w:p>
          <w:p w:rsidR="00017393" w:rsidRPr="003A4DBC" w:rsidRDefault="00017393" w:rsidP="003A4DBC">
            <w:pPr>
              <w:pStyle w:val="a3"/>
              <w:numPr>
                <w:ilvl w:val="0"/>
                <w:numId w:val="2"/>
              </w:numPr>
              <w:spacing w:after="0" w:line="240" w:lineRule="auto"/>
              <w:ind w:left="459"/>
            </w:pPr>
            <w:r w:rsidRPr="003A4DBC">
              <w:t>- Κατάργηση της άδειας μουσικής και αντικατάσταση από γνωστοποίηση</w:t>
            </w:r>
          </w:p>
          <w:p w:rsidR="00017393" w:rsidRDefault="00017393" w:rsidP="00CF5F48">
            <w:pPr>
              <w:pStyle w:val="a3"/>
              <w:numPr>
                <w:ilvl w:val="0"/>
                <w:numId w:val="2"/>
              </w:numPr>
              <w:spacing w:after="0" w:line="240" w:lineRule="auto"/>
              <w:ind w:left="459"/>
            </w:pPr>
            <w:r w:rsidRPr="003A4DBC">
              <w:t>-</w:t>
            </w:r>
            <w:r w:rsidRPr="003A4DBC">
              <w:tab/>
              <w:t>Οι έλεγχοι πραγματοποιούνται κατά τη διάρκεια λειτουργίας της επιχείρησης</w:t>
            </w:r>
          </w:p>
          <w:p w:rsidR="00017393" w:rsidRPr="00CF5F48" w:rsidRDefault="00017393" w:rsidP="003A4DBC">
            <w:pPr>
              <w:pStyle w:val="a3"/>
              <w:spacing w:after="0" w:line="240" w:lineRule="auto"/>
              <w:ind w:left="99"/>
            </w:pPr>
          </w:p>
        </w:tc>
      </w:tr>
      <w:tr w:rsidR="00017393" w:rsidRPr="00CF5F48" w:rsidTr="00CF5F48">
        <w:trPr>
          <w:jc w:val="center"/>
        </w:trPr>
        <w:tc>
          <w:tcPr>
            <w:tcW w:w="1841" w:type="dxa"/>
            <w:tcBorders>
              <w:right w:val="nil"/>
            </w:tcBorders>
          </w:tcPr>
          <w:p w:rsidR="00017393" w:rsidRPr="00CF5F48" w:rsidRDefault="00017393" w:rsidP="00CF5F48">
            <w:pPr>
              <w:pStyle w:val="a3"/>
              <w:spacing w:after="0" w:line="240" w:lineRule="auto"/>
              <w:ind w:left="0"/>
              <w:jc w:val="both"/>
              <w:rPr>
                <w:b/>
                <w:bCs/>
              </w:rPr>
            </w:pPr>
            <w:r w:rsidRPr="00CF5F48">
              <w:rPr>
                <w:b/>
                <w:bCs/>
              </w:rPr>
              <w:t xml:space="preserve">Τουριστικά Καταλύματα </w:t>
            </w:r>
          </w:p>
          <w:p w:rsidR="00017393" w:rsidRPr="00CF5F48" w:rsidRDefault="009B058E" w:rsidP="00CF5F48">
            <w:pPr>
              <w:pStyle w:val="a3"/>
              <w:spacing w:after="0" w:line="240" w:lineRule="auto"/>
              <w:ind w:left="0"/>
              <w:jc w:val="right"/>
              <w:rPr>
                <w:b/>
                <w:bCs/>
              </w:rPr>
            </w:pPr>
            <w:r>
              <w:rPr>
                <w:b/>
                <w:noProof/>
                <w:lang w:eastAsia="el-GR"/>
              </w:rPr>
              <w:drawing>
                <wp:inline distT="0" distB="0" distL="0" distR="0">
                  <wp:extent cx="641985" cy="641985"/>
                  <wp:effectExtent l="0" t="0" r="0" b="0"/>
                  <wp:docPr id="9" name="7 - Εικόνα" descr="passenger_with_baggag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 Εικόνα" descr="passenger_with_baggage-512.png"/>
                          <pic:cNvPicPr>
                            <a:picLocks noChangeAspect="1" noChangeArrowheads="1"/>
                          </pic:cNvPicPr>
                        </pic:nvPicPr>
                        <pic:blipFill>
                          <a:blip r:embed="rId15"/>
                          <a:srcRect/>
                          <a:stretch>
                            <a:fillRect/>
                          </a:stretch>
                        </pic:blipFill>
                        <pic:spPr bwMode="auto">
                          <a:xfrm>
                            <a:off x="0" y="0"/>
                            <a:ext cx="641985" cy="641985"/>
                          </a:xfrm>
                          <a:prstGeom prst="rect">
                            <a:avLst/>
                          </a:prstGeom>
                          <a:noFill/>
                          <a:ln w="9525">
                            <a:noFill/>
                            <a:miter lim="800000"/>
                            <a:headEnd/>
                            <a:tailEnd/>
                          </a:ln>
                        </pic:spPr>
                      </pic:pic>
                    </a:graphicData>
                  </a:graphic>
                </wp:inline>
              </w:drawing>
            </w:r>
          </w:p>
        </w:tc>
        <w:tc>
          <w:tcPr>
            <w:tcW w:w="3402" w:type="dxa"/>
            <w:tcBorders>
              <w:left w:val="nil"/>
              <w:right w:val="nil"/>
            </w:tcBorders>
          </w:tcPr>
          <w:p w:rsidR="00017393" w:rsidRPr="00CF5F48" w:rsidRDefault="00017393" w:rsidP="00CF5F48">
            <w:pPr>
              <w:pStyle w:val="a3"/>
              <w:numPr>
                <w:ilvl w:val="0"/>
                <w:numId w:val="2"/>
              </w:numPr>
              <w:spacing w:after="0" w:line="240" w:lineRule="auto"/>
              <w:ind w:left="459"/>
            </w:pPr>
            <w:r w:rsidRPr="00CF5F48">
              <w:t>Χορήγηση ειδικού σήματος λειτουργίας από Υπηρεσία Τουρισμού εντός 50 ημερών.</w:t>
            </w:r>
          </w:p>
          <w:p w:rsidR="00017393" w:rsidRPr="00CF5F48" w:rsidRDefault="00017393" w:rsidP="00CF5F48">
            <w:pPr>
              <w:pStyle w:val="a3"/>
              <w:numPr>
                <w:ilvl w:val="0"/>
                <w:numId w:val="2"/>
              </w:numPr>
              <w:spacing w:after="0" w:line="240" w:lineRule="auto"/>
              <w:ind w:left="459"/>
            </w:pPr>
            <w:r w:rsidRPr="00CF5F48">
              <w:t>Υποχρέωση άδειας λειτουργίας για τη χρήση των κολυμβητικών δεξαμενών.</w:t>
            </w:r>
          </w:p>
          <w:p w:rsidR="00017393" w:rsidRPr="00CF5F48" w:rsidRDefault="00017393" w:rsidP="00CF5F48">
            <w:pPr>
              <w:pStyle w:val="a3"/>
              <w:numPr>
                <w:ilvl w:val="0"/>
                <w:numId w:val="2"/>
              </w:numPr>
              <w:spacing w:after="0" w:line="240" w:lineRule="auto"/>
              <w:ind w:left="459"/>
            </w:pPr>
            <w:r w:rsidRPr="00CF5F48">
              <w:t xml:space="preserve">Πολυάριθμα δικαιολογητικά για έναρξη λειτουργίας τουριστικών καταλυμάτων. </w:t>
            </w:r>
          </w:p>
          <w:p w:rsidR="00017393" w:rsidRPr="00CF5F48" w:rsidRDefault="00017393" w:rsidP="00CF5F48">
            <w:pPr>
              <w:pStyle w:val="a3"/>
              <w:numPr>
                <w:ilvl w:val="0"/>
                <w:numId w:val="2"/>
              </w:numPr>
              <w:spacing w:after="0" w:line="240" w:lineRule="auto"/>
              <w:ind w:left="459"/>
            </w:pPr>
            <w:r w:rsidRPr="00CF5F48">
              <w:t xml:space="preserve">Πιστοποιητικό πυρασφάλειας για καταλύματα άνω των 20 κλινών. </w:t>
            </w:r>
          </w:p>
          <w:p w:rsidR="00017393" w:rsidRPr="00CF5F48" w:rsidRDefault="00017393" w:rsidP="00CF5F48">
            <w:pPr>
              <w:pStyle w:val="a3"/>
              <w:numPr>
                <w:ilvl w:val="0"/>
                <w:numId w:val="2"/>
              </w:numPr>
              <w:spacing w:after="0" w:line="240" w:lineRule="auto"/>
              <w:ind w:left="459"/>
            </w:pPr>
            <w:r w:rsidRPr="00CF5F48">
              <w:t>Τα ενοικιαζόμενα επιπλωμένα δωμάτια-διαμερίσματα κατατάσσονται υποχρεωτικά σε κατηγορίες κλειδιών (ν.4276/2014).</w:t>
            </w:r>
          </w:p>
        </w:tc>
        <w:tc>
          <w:tcPr>
            <w:tcW w:w="5327" w:type="dxa"/>
            <w:tcBorders>
              <w:left w:val="nil"/>
            </w:tcBorders>
          </w:tcPr>
          <w:p w:rsidR="00017393" w:rsidRPr="00CF5F48" w:rsidRDefault="00017393" w:rsidP="00CF5F48">
            <w:pPr>
              <w:pStyle w:val="a3"/>
              <w:numPr>
                <w:ilvl w:val="0"/>
                <w:numId w:val="2"/>
              </w:numPr>
              <w:spacing w:after="0" w:line="240" w:lineRule="auto"/>
              <w:ind w:left="459"/>
            </w:pPr>
            <w:r w:rsidRPr="00CF5F48">
              <w:t>Μέχρι 30/09/2017 χορήγηση ειδικού σήματος λειτουργίας εντός 28 ημερών. Από 01/10/2017 υπαγωγή στο καθεστώς «γνωστοποίησης».</w:t>
            </w:r>
          </w:p>
          <w:p w:rsidR="00017393" w:rsidRPr="00CF5F48" w:rsidRDefault="00017393" w:rsidP="00CF5F48">
            <w:pPr>
              <w:pStyle w:val="a3"/>
              <w:numPr>
                <w:ilvl w:val="0"/>
                <w:numId w:val="2"/>
              </w:numPr>
              <w:spacing w:after="0" w:line="240" w:lineRule="auto"/>
              <w:ind w:left="459"/>
            </w:pPr>
            <w:r w:rsidRPr="00CF5F48">
              <w:t>Υπαγωγή της «άδειας» λειτουργίας κολυμβητικών δεξαμενών στο καθεστώς της «γνωστοποίησης» (μόνο ηλεκτρονικά).</w:t>
            </w:r>
          </w:p>
          <w:p w:rsidR="00017393" w:rsidRPr="00CF5F48" w:rsidRDefault="00017393" w:rsidP="00CF5F48">
            <w:pPr>
              <w:pStyle w:val="a3"/>
              <w:numPr>
                <w:ilvl w:val="0"/>
                <w:numId w:val="2"/>
              </w:numPr>
              <w:spacing w:after="0" w:line="240" w:lineRule="auto"/>
              <w:ind w:left="459"/>
            </w:pPr>
            <w:r w:rsidRPr="00CF5F48">
              <w:t xml:space="preserve">Μείωση δικαιολογητικών. </w:t>
            </w:r>
            <w:r>
              <w:t>Καταργούνται</w:t>
            </w:r>
            <w:r w:rsidRPr="00CF5F48">
              <w:t xml:space="preserve">: </w:t>
            </w:r>
          </w:p>
          <w:p w:rsidR="00017393" w:rsidRPr="00CF5F48" w:rsidRDefault="00017393" w:rsidP="00CF5F48">
            <w:pPr>
              <w:pStyle w:val="a3"/>
              <w:numPr>
                <w:ilvl w:val="1"/>
                <w:numId w:val="2"/>
              </w:numPr>
              <w:spacing w:after="0" w:line="240" w:lineRule="auto"/>
              <w:ind w:left="1026"/>
            </w:pPr>
            <w:r w:rsidRPr="00CF5F48">
              <w:t>υποχρέωση υποβολής των αρχιτεκτονικών σχεδίων</w:t>
            </w:r>
          </w:p>
          <w:p w:rsidR="00017393" w:rsidRPr="00CF5F48" w:rsidRDefault="00017393" w:rsidP="00CF5F48">
            <w:pPr>
              <w:pStyle w:val="a3"/>
              <w:numPr>
                <w:ilvl w:val="1"/>
                <w:numId w:val="2"/>
              </w:numPr>
              <w:spacing w:after="0" w:line="240" w:lineRule="auto"/>
              <w:ind w:left="1026"/>
            </w:pPr>
            <w:r>
              <w:t xml:space="preserve">υποχρέωση </w:t>
            </w:r>
            <w:r w:rsidRPr="00CF5F48">
              <w:t>υποβολή</w:t>
            </w:r>
            <w:r>
              <w:t>ς</w:t>
            </w:r>
            <w:r w:rsidRPr="00CF5F48">
              <w:t xml:space="preserve"> απόφασης του Υπουργού Περιβάλλοντος και Ενέργειας</w:t>
            </w:r>
          </w:p>
          <w:p w:rsidR="00017393" w:rsidRPr="00CF5F48" w:rsidRDefault="00017393" w:rsidP="00CF5F48">
            <w:pPr>
              <w:pStyle w:val="a3"/>
              <w:numPr>
                <w:ilvl w:val="1"/>
                <w:numId w:val="2"/>
              </w:numPr>
              <w:spacing w:after="0" w:line="240" w:lineRule="auto"/>
              <w:ind w:left="1026"/>
            </w:pPr>
            <w:r>
              <w:t xml:space="preserve">υποχρέωση </w:t>
            </w:r>
            <w:r w:rsidRPr="00CF5F48">
              <w:t>υποβολή</w:t>
            </w:r>
            <w:r>
              <w:t>ς</w:t>
            </w:r>
            <w:r w:rsidRPr="00CF5F48">
              <w:t xml:space="preserve"> </w:t>
            </w:r>
            <w:r>
              <w:t xml:space="preserve">Απόφασης </w:t>
            </w:r>
            <w:r w:rsidRPr="00CF5F48">
              <w:t>Έγκρισης Περιβαλλοντικών Όρων (Α.Ε.Π.Ο.)</w:t>
            </w:r>
          </w:p>
          <w:p w:rsidR="00017393" w:rsidRPr="00CF5F48" w:rsidRDefault="00017393" w:rsidP="00CF5F48">
            <w:pPr>
              <w:pStyle w:val="a3"/>
              <w:numPr>
                <w:ilvl w:val="1"/>
                <w:numId w:val="2"/>
              </w:numPr>
              <w:spacing w:after="0" w:line="240" w:lineRule="auto"/>
              <w:ind w:left="1026"/>
            </w:pPr>
            <w:r w:rsidRPr="00CF5F48">
              <w:t xml:space="preserve">η υποχρέωση προσκόμισης βεβαίωσης σύνδεσης με το αποχετευτικό δίκτυο </w:t>
            </w:r>
            <w:r>
              <w:t xml:space="preserve">- αντικατάσταση </w:t>
            </w:r>
            <w:r w:rsidRPr="00CF5F48">
              <w:t>με αποδεικτικό</w:t>
            </w:r>
          </w:p>
          <w:p w:rsidR="00017393" w:rsidRPr="00CF5F48" w:rsidRDefault="00017393" w:rsidP="00CF5F48">
            <w:pPr>
              <w:pStyle w:val="a3"/>
              <w:numPr>
                <w:ilvl w:val="0"/>
                <w:numId w:val="2"/>
              </w:numPr>
              <w:spacing w:after="0" w:line="240" w:lineRule="auto"/>
              <w:ind w:left="459"/>
            </w:pPr>
            <w:r w:rsidRPr="00CF5F48">
              <w:t>Πιστοποιητικό πυρασφάλειας για καταλύματα άνω των 51 κλινών.</w:t>
            </w:r>
          </w:p>
          <w:p w:rsidR="00017393" w:rsidRPr="00CF5F48" w:rsidRDefault="00017393" w:rsidP="00CF5F48">
            <w:pPr>
              <w:pStyle w:val="a3"/>
              <w:numPr>
                <w:ilvl w:val="0"/>
                <w:numId w:val="1"/>
              </w:numPr>
              <w:spacing w:after="0" w:line="240" w:lineRule="auto"/>
              <w:ind w:left="567" w:hanging="283"/>
              <w:jc w:val="both"/>
            </w:pPr>
            <w:r>
              <w:t>Η</w:t>
            </w:r>
            <w:r w:rsidRPr="00CF5F48">
              <w:t xml:space="preserve"> διαδικασία κατάταξης σε κλειδιά γίνεται προαιρετική.</w:t>
            </w:r>
          </w:p>
          <w:p w:rsidR="00017393" w:rsidRPr="00CF5F48" w:rsidRDefault="00017393" w:rsidP="00CF5F48">
            <w:pPr>
              <w:pStyle w:val="a3"/>
              <w:spacing w:after="0" w:line="240" w:lineRule="auto"/>
              <w:ind w:left="459"/>
            </w:pPr>
          </w:p>
        </w:tc>
      </w:tr>
    </w:tbl>
    <w:p w:rsidR="00017393" w:rsidRPr="00E761AB" w:rsidRDefault="00017393" w:rsidP="00B8296D">
      <w:pPr>
        <w:pStyle w:val="a3"/>
        <w:ind w:left="567"/>
        <w:jc w:val="both"/>
      </w:pPr>
    </w:p>
    <w:p w:rsidR="00017393" w:rsidRDefault="00017393" w:rsidP="00FE0128">
      <w:pPr>
        <w:pStyle w:val="a3"/>
        <w:ind w:left="567"/>
        <w:jc w:val="both"/>
      </w:pPr>
    </w:p>
    <w:p w:rsidR="00017393" w:rsidRPr="00215FD4" w:rsidRDefault="00017393" w:rsidP="00E761AB">
      <w:pPr>
        <w:ind w:left="567" w:hanging="283"/>
      </w:pPr>
    </w:p>
    <w:sectPr w:rsidR="00017393" w:rsidRPr="00215FD4" w:rsidSect="007048CB">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66" w:rsidRDefault="00797D66" w:rsidP="000D3789">
      <w:pPr>
        <w:spacing w:after="0" w:line="240" w:lineRule="auto"/>
      </w:pPr>
      <w:r>
        <w:separator/>
      </w:r>
    </w:p>
  </w:endnote>
  <w:endnote w:type="continuationSeparator" w:id="0">
    <w:p w:rsidR="00797D66" w:rsidRDefault="00797D66" w:rsidP="000D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E2" w:rsidRDefault="00453CE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E2" w:rsidRDefault="00453CE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E2" w:rsidRDefault="00453CE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66" w:rsidRDefault="00797D66" w:rsidP="000D3789">
      <w:pPr>
        <w:spacing w:after="0" w:line="240" w:lineRule="auto"/>
      </w:pPr>
      <w:r>
        <w:separator/>
      </w:r>
    </w:p>
  </w:footnote>
  <w:footnote w:type="continuationSeparator" w:id="0">
    <w:p w:rsidR="00797D66" w:rsidRDefault="00797D66" w:rsidP="000D3789">
      <w:pPr>
        <w:spacing w:after="0" w:line="240" w:lineRule="auto"/>
      </w:pPr>
      <w:r>
        <w:continuationSeparator/>
      </w:r>
    </w:p>
  </w:footnote>
  <w:footnote w:id="1">
    <w:p w:rsidR="00017393" w:rsidRDefault="00017393" w:rsidP="000D3789">
      <w:pPr>
        <w:pStyle w:val="a6"/>
        <w:jc w:val="both"/>
      </w:pPr>
      <w:r>
        <w:rPr>
          <w:rStyle w:val="a7"/>
        </w:rPr>
        <w:footnoteRef/>
      </w:r>
      <w:r>
        <w:t xml:space="preserve"> </w:t>
      </w:r>
      <w:r w:rsidRPr="00D6093E">
        <w:rPr>
          <w:b/>
        </w:rPr>
        <w:t>Η κατάργηση των ανωτέρω βεβαιώσεων δεν απαλλάσσει τους φορείς δραστηριοτήτων μεταποίησης τροφίμων και ποτών από την τήρηση των όρων και προϋποθέσεων που περιγράφονται στην κείμενη νομοθεσία για την ασφάλεια των τροφίμων.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E2" w:rsidRDefault="00453CE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E2" w:rsidRDefault="00453CE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E2" w:rsidRDefault="00453C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4CE7ABE"/>
    <w:multiLevelType w:val="hybridMultilevel"/>
    <w:tmpl w:val="1556D13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E0415B1"/>
    <w:multiLevelType w:val="hybridMultilevel"/>
    <w:tmpl w:val="CF522C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D733DF"/>
    <w:multiLevelType w:val="hybridMultilevel"/>
    <w:tmpl w:val="E228940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BB54B3"/>
    <w:multiLevelType w:val="hybridMultilevel"/>
    <w:tmpl w:val="BC9AE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5A3384B"/>
    <w:multiLevelType w:val="hybridMultilevel"/>
    <w:tmpl w:val="8A1CE81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87D57C8"/>
    <w:multiLevelType w:val="hybridMultilevel"/>
    <w:tmpl w:val="4EF8E1B6"/>
    <w:lvl w:ilvl="0" w:tplc="04080005">
      <w:start w:val="1"/>
      <w:numFmt w:val="bullet"/>
      <w:lvlText w:val=""/>
      <w:lvlJc w:val="left"/>
      <w:pPr>
        <w:ind w:left="720" w:hanging="360"/>
      </w:pPr>
      <w:rPr>
        <w:rFonts w:ascii="Wingdings" w:hAnsi="Wingdings"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A9B18A8"/>
    <w:multiLevelType w:val="hybridMultilevel"/>
    <w:tmpl w:val="368E5742"/>
    <w:lvl w:ilvl="0" w:tplc="04080005">
      <w:start w:val="1"/>
      <w:numFmt w:val="bullet"/>
      <w:lvlText w:val=""/>
      <w:lvlJc w:val="left"/>
      <w:pPr>
        <w:ind w:left="1287" w:hanging="360"/>
      </w:pPr>
      <w:rPr>
        <w:rFonts w:ascii="Wingdings" w:hAnsi="Wingdings" w:hint="default"/>
      </w:rPr>
    </w:lvl>
    <w:lvl w:ilvl="1" w:tplc="04080003">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nsid w:val="7CFC28AE"/>
    <w:multiLevelType w:val="hybridMultilevel"/>
    <w:tmpl w:val="C8B66144"/>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E0"/>
    <w:rsid w:val="00017393"/>
    <w:rsid w:val="0004380E"/>
    <w:rsid w:val="00080683"/>
    <w:rsid w:val="000D3789"/>
    <w:rsid w:val="000F3891"/>
    <w:rsid w:val="000F4146"/>
    <w:rsid w:val="00211A6D"/>
    <w:rsid w:val="00214ACB"/>
    <w:rsid w:val="00215FD4"/>
    <w:rsid w:val="00223248"/>
    <w:rsid w:val="00287B14"/>
    <w:rsid w:val="002B6D53"/>
    <w:rsid w:val="002D519F"/>
    <w:rsid w:val="00305FE0"/>
    <w:rsid w:val="00336747"/>
    <w:rsid w:val="003A4DBC"/>
    <w:rsid w:val="003B4277"/>
    <w:rsid w:val="003F3292"/>
    <w:rsid w:val="003F7A52"/>
    <w:rsid w:val="00453CE2"/>
    <w:rsid w:val="00463CA9"/>
    <w:rsid w:val="00465D81"/>
    <w:rsid w:val="0048696D"/>
    <w:rsid w:val="004E4F90"/>
    <w:rsid w:val="00573D63"/>
    <w:rsid w:val="00596A3C"/>
    <w:rsid w:val="005A661B"/>
    <w:rsid w:val="005E5EB3"/>
    <w:rsid w:val="005E65C3"/>
    <w:rsid w:val="005F1206"/>
    <w:rsid w:val="005F60CC"/>
    <w:rsid w:val="006418A8"/>
    <w:rsid w:val="00673145"/>
    <w:rsid w:val="006B22B1"/>
    <w:rsid w:val="007048CB"/>
    <w:rsid w:val="00704E86"/>
    <w:rsid w:val="007245B7"/>
    <w:rsid w:val="00744FA4"/>
    <w:rsid w:val="007909CC"/>
    <w:rsid w:val="00796761"/>
    <w:rsid w:val="00797D66"/>
    <w:rsid w:val="007B2BCD"/>
    <w:rsid w:val="008E55BE"/>
    <w:rsid w:val="008F6870"/>
    <w:rsid w:val="0092545F"/>
    <w:rsid w:val="0093418D"/>
    <w:rsid w:val="009414F9"/>
    <w:rsid w:val="00971206"/>
    <w:rsid w:val="009B058E"/>
    <w:rsid w:val="009E3571"/>
    <w:rsid w:val="00A620A7"/>
    <w:rsid w:val="00A73E3A"/>
    <w:rsid w:val="00A9691A"/>
    <w:rsid w:val="00AB5061"/>
    <w:rsid w:val="00AD3AD8"/>
    <w:rsid w:val="00B8296D"/>
    <w:rsid w:val="00BB7847"/>
    <w:rsid w:val="00BC383C"/>
    <w:rsid w:val="00C006F2"/>
    <w:rsid w:val="00C03F80"/>
    <w:rsid w:val="00C10B2C"/>
    <w:rsid w:val="00C524C5"/>
    <w:rsid w:val="00CC3DB1"/>
    <w:rsid w:val="00CF5F48"/>
    <w:rsid w:val="00D6093E"/>
    <w:rsid w:val="00DA3CAE"/>
    <w:rsid w:val="00DB1705"/>
    <w:rsid w:val="00DF7E9A"/>
    <w:rsid w:val="00E74CE5"/>
    <w:rsid w:val="00E761AB"/>
    <w:rsid w:val="00EC1646"/>
    <w:rsid w:val="00EC49C4"/>
    <w:rsid w:val="00EE3001"/>
    <w:rsid w:val="00F45FBB"/>
    <w:rsid w:val="00F81DED"/>
    <w:rsid w:val="00F96382"/>
    <w:rsid w:val="00FC3AF4"/>
    <w:rsid w:val="00FD7EB3"/>
    <w:rsid w:val="00FE01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CB"/>
    <w:pPr>
      <w:spacing w:after="200" w:line="276" w:lineRule="auto"/>
    </w:pPr>
    <w:rPr>
      <w:lang w:eastAsia="en-US"/>
    </w:rPr>
  </w:style>
  <w:style w:type="paragraph" w:styleId="1">
    <w:name w:val="heading 1"/>
    <w:basedOn w:val="a"/>
    <w:next w:val="a"/>
    <w:link w:val="1Char"/>
    <w:uiPriority w:val="99"/>
    <w:qFormat/>
    <w:rsid w:val="00AD3AD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D3AD8"/>
    <w:rPr>
      <w:rFonts w:ascii="Cambria" w:hAnsi="Cambria" w:cs="Times New Roman"/>
      <w:b/>
      <w:bCs/>
      <w:color w:val="365F91"/>
      <w:sz w:val="28"/>
      <w:szCs w:val="28"/>
    </w:rPr>
  </w:style>
  <w:style w:type="paragraph" w:styleId="a3">
    <w:name w:val="List Paragraph"/>
    <w:basedOn w:val="a"/>
    <w:link w:val="Char"/>
    <w:qFormat/>
    <w:rsid w:val="000F4146"/>
    <w:pPr>
      <w:ind w:left="720"/>
      <w:contextualSpacing/>
    </w:pPr>
  </w:style>
  <w:style w:type="table" w:styleId="a4">
    <w:name w:val="Table Grid"/>
    <w:basedOn w:val="a1"/>
    <w:uiPriority w:val="99"/>
    <w:rsid w:val="00B829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rsid w:val="007245B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locked/>
    <w:rsid w:val="007245B7"/>
    <w:rPr>
      <w:rFonts w:ascii="Tahoma" w:hAnsi="Tahoma" w:cs="Tahoma"/>
      <w:sz w:val="16"/>
      <w:szCs w:val="16"/>
    </w:rPr>
  </w:style>
  <w:style w:type="paragraph" w:styleId="a6">
    <w:name w:val="footnote text"/>
    <w:basedOn w:val="a"/>
    <w:link w:val="Char1"/>
    <w:uiPriority w:val="99"/>
    <w:semiHidden/>
    <w:rsid w:val="000D3789"/>
    <w:pPr>
      <w:spacing w:after="0" w:line="240" w:lineRule="auto"/>
    </w:pPr>
    <w:rPr>
      <w:sz w:val="20"/>
      <w:szCs w:val="20"/>
    </w:rPr>
  </w:style>
  <w:style w:type="character" w:customStyle="1" w:styleId="Char1">
    <w:name w:val="Κείμενο υποσημείωσης Char"/>
    <w:basedOn w:val="a0"/>
    <w:link w:val="a6"/>
    <w:uiPriority w:val="99"/>
    <w:semiHidden/>
    <w:locked/>
    <w:rsid w:val="000D3789"/>
    <w:rPr>
      <w:rFonts w:cs="Times New Roman"/>
      <w:sz w:val="20"/>
      <w:szCs w:val="20"/>
    </w:rPr>
  </w:style>
  <w:style w:type="character" w:styleId="a7">
    <w:name w:val="footnote reference"/>
    <w:basedOn w:val="a0"/>
    <w:uiPriority w:val="99"/>
    <w:semiHidden/>
    <w:rsid w:val="000D3789"/>
    <w:rPr>
      <w:rFonts w:cs="Times New Roman"/>
      <w:vertAlign w:val="superscript"/>
    </w:rPr>
  </w:style>
  <w:style w:type="table" w:customStyle="1" w:styleId="MediumShading1-Accent11">
    <w:name w:val="Medium Shading 1 - Accent 11"/>
    <w:uiPriority w:val="99"/>
    <w:rsid w:val="00AD3AD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a8">
    <w:name w:val="annotation reference"/>
    <w:basedOn w:val="a0"/>
    <w:uiPriority w:val="99"/>
    <w:semiHidden/>
    <w:rsid w:val="007909CC"/>
    <w:rPr>
      <w:rFonts w:cs="Times New Roman"/>
      <w:sz w:val="16"/>
      <w:szCs w:val="16"/>
    </w:rPr>
  </w:style>
  <w:style w:type="paragraph" w:styleId="a9">
    <w:name w:val="annotation text"/>
    <w:basedOn w:val="a"/>
    <w:link w:val="Char2"/>
    <w:uiPriority w:val="99"/>
    <w:semiHidden/>
    <w:rsid w:val="007909CC"/>
    <w:rPr>
      <w:sz w:val="20"/>
      <w:szCs w:val="20"/>
    </w:rPr>
  </w:style>
  <w:style w:type="character" w:customStyle="1" w:styleId="Char2">
    <w:name w:val="Κείμενο σχολίου Char"/>
    <w:basedOn w:val="a0"/>
    <w:link w:val="a9"/>
    <w:uiPriority w:val="99"/>
    <w:semiHidden/>
    <w:locked/>
    <w:rsid w:val="00C524C5"/>
    <w:rPr>
      <w:rFonts w:cs="Times New Roman"/>
      <w:sz w:val="20"/>
      <w:szCs w:val="20"/>
      <w:lang w:eastAsia="en-US"/>
    </w:rPr>
  </w:style>
  <w:style w:type="paragraph" w:styleId="aa">
    <w:name w:val="annotation subject"/>
    <w:basedOn w:val="a9"/>
    <w:next w:val="a9"/>
    <w:link w:val="Char3"/>
    <w:uiPriority w:val="99"/>
    <w:semiHidden/>
    <w:rsid w:val="007909CC"/>
    <w:rPr>
      <w:b/>
      <w:bCs/>
    </w:rPr>
  </w:style>
  <w:style w:type="character" w:customStyle="1" w:styleId="Char3">
    <w:name w:val="Θέμα σχολίου Char"/>
    <w:basedOn w:val="Char2"/>
    <w:link w:val="aa"/>
    <w:uiPriority w:val="99"/>
    <w:semiHidden/>
    <w:locked/>
    <w:rsid w:val="00C524C5"/>
    <w:rPr>
      <w:rFonts w:cs="Times New Roman"/>
      <w:b/>
      <w:bCs/>
      <w:sz w:val="20"/>
      <w:szCs w:val="20"/>
      <w:lang w:eastAsia="en-US"/>
    </w:rPr>
  </w:style>
  <w:style w:type="character" w:customStyle="1" w:styleId="Char">
    <w:name w:val="Παράγραφος λίστας Char"/>
    <w:link w:val="a3"/>
    <w:locked/>
    <w:rsid w:val="00DA3CAE"/>
    <w:rPr>
      <w:lang w:eastAsia="en-US"/>
    </w:rPr>
  </w:style>
  <w:style w:type="paragraph" w:styleId="ab">
    <w:name w:val="header"/>
    <w:basedOn w:val="a"/>
    <w:link w:val="Char4"/>
    <w:uiPriority w:val="99"/>
    <w:unhideWhenUsed/>
    <w:rsid w:val="00453CE2"/>
    <w:pPr>
      <w:tabs>
        <w:tab w:val="center" w:pos="4153"/>
        <w:tab w:val="right" w:pos="8306"/>
      </w:tabs>
      <w:spacing w:after="0" w:line="240" w:lineRule="auto"/>
    </w:pPr>
  </w:style>
  <w:style w:type="character" w:customStyle="1" w:styleId="Char4">
    <w:name w:val="Κεφαλίδα Char"/>
    <w:basedOn w:val="a0"/>
    <w:link w:val="ab"/>
    <w:uiPriority w:val="99"/>
    <w:rsid w:val="00453CE2"/>
    <w:rPr>
      <w:lang w:eastAsia="en-US"/>
    </w:rPr>
  </w:style>
  <w:style w:type="paragraph" w:styleId="ac">
    <w:name w:val="footer"/>
    <w:basedOn w:val="a"/>
    <w:link w:val="Char5"/>
    <w:uiPriority w:val="99"/>
    <w:unhideWhenUsed/>
    <w:rsid w:val="00453CE2"/>
    <w:pPr>
      <w:tabs>
        <w:tab w:val="center" w:pos="4153"/>
        <w:tab w:val="right" w:pos="8306"/>
      </w:tabs>
      <w:spacing w:after="0" w:line="240" w:lineRule="auto"/>
    </w:pPr>
  </w:style>
  <w:style w:type="character" w:customStyle="1" w:styleId="Char5">
    <w:name w:val="Υποσέλιδο Char"/>
    <w:basedOn w:val="a0"/>
    <w:link w:val="ac"/>
    <w:uiPriority w:val="99"/>
    <w:rsid w:val="00453CE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CB"/>
    <w:pPr>
      <w:spacing w:after="200" w:line="276" w:lineRule="auto"/>
    </w:pPr>
    <w:rPr>
      <w:lang w:eastAsia="en-US"/>
    </w:rPr>
  </w:style>
  <w:style w:type="paragraph" w:styleId="1">
    <w:name w:val="heading 1"/>
    <w:basedOn w:val="a"/>
    <w:next w:val="a"/>
    <w:link w:val="1Char"/>
    <w:uiPriority w:val="99"/>
    <w:qFormat/>
    <w:rsid w:val="00AD3AD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D3AD8"/>
    <w:rPr>
      <w:rFonts w:ascii="Cambria" w:hAnsi="Cambria" w:cs="Times New Roman"/>
      <w:b/>
      <w:bCs/>
      <w:color w:val="365F91"/>
      <w:sz w:val="28"/>
      <w:szCs w:val="28"/>
    </w:rPr>
  </w:style>
  <w:style w:type="paragraph" w:styleId="a3">
    <w:name w:val="List Paragraph"/>
    <w:basedOn w:val="a"/>
    <w:link w:val="Char"/>
    <w:qFormat/>
    <w:rsid w:val="000F4146"/>
    <w:pPr>
      <w:ind w:left="720"/>
      <w:contextualSpacing/>
    </w:pPr>
  </w:style>
  <w:style w:type="table" w:styleId="a4">
    <w:name w:val="Table Grid"/>
    <w:basedOn w:val="a1"/>
    <w:uiPriority w:val="99"/>
    <w:rsid w:val="00B829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rsid w:val="007245B7"/>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locked/>
    <w:rsid w:val="007245B7"/>
    <w:rPr>
      <w:rFonts w:ascii="Tahoma" w:hAnsi="Tahoma" w:cs="Tahoma"/>
      <w:sz w:val="16"/>
      <w:szCs w:val="16"/>
    </w:rPr>
  </w:style>
  <w:style w:type="paragraph" w:styleId="a6">
    <w:name w:val="footnote text"/>
    <w:basedOn w:val="a"/>
    <w:link w:val="Char1"/>
    <w:uiPriority w:val="99"/>
    <w:semiHidden/>
    <w:rsid w:val="000D3789"/>
    <w:pPr>
      <w:spacing w:after="0" w:line="240" w:lineRule="auto"/>
    </w:pPr>
    <w:rPr>
      <w:sz w:val="20"/>
      <w:szCs w:val="20"/>
    </w:rPr>
  </w:style>
  <w:style w:type="character" w:customStyle="1" w:styleId="Char1">
    <w:name w:val="Κείμενο υποσημείωσης Char"/>
    <w:basedOn w:val="a0"/>
    <w:link w:val="a6"/>
    <w:uiPriority w:val="99"/>
    <w:semiHidden/>
    <w:locked/>
    <w:rsid w:val="000D3789"/>
    <w:rPr>
      <w:rFonts w:cs="Times New Roman"/>
      <w:sz w:val="20"/>
      <w:szCs w:val="20"/>
    </w:rPr>
  </w:style>
  <w:style w:type="character" w:styleId="a7">
    <w:name w:val="footnote reference"/>
    <w:basedOn w:val="a0"/>
    <w:uiPriority w:val="99"/>
    <w:semiHidden/>
    <w:rsid w:val="000D3789"/>
    <w:rPr>
      <w:rFonts w:cs="Times New Roman"/>
      <w:vertAlign w:val="superscript"/>
    </w:rPr>
  </w:style>
  <w:style w:type="table" w:customStyle="1" w:styleId="MediumShading1-Accent11">
    <w:name w:val="Medium Shading 1 - Accent 11"/>
    <w:uiPriority w:val="99"/>
    <w:rsid w:val="00AD3AD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a8">
    <w:name w:val="annotation reference"/>
    <w:basedOn w:val="a0"/>
    <w:uiPriority w:val="99"/>
    <w:semiHidden/>
    <w:rsid w:val="007909CC"/>
    <w:rPr>
      <w:rFonts w:cs="Times New Roman"/>
      <w:sz w:val="16"/>
      <w:szCs w:val="16"/>
    </w:rPr>
  </w:style>
  <w:style w:type="paragraph" w:styleId="a9">
    <w:name w:val="annotation text"/>
    <w:basedOn w:val="a"/>
    <w:link w:val="Char2"/>
    <w:uiPriority w:val="99"/>
    <w:semiHidden/>
    <w:rsid w:val="007909CC"/>
    <w:rPr>
      <w:sz w:val="20"/>
      <w:szCs w:val="20"/>
    </w:rPr>
  </w:style>
  <w:style w:type="character" w:customStyle="1" w:styleId="Char2">
    <w:name w:val="Κείμενο σχολίου Char"/>
    <w:basedOn w:val="a0"/>
    <w:link w:val="a9"/>
    <w:uiPriority w:val="99"/>
    <w:semiHidden/>
    <w:locked/>
    <w:rsid w:val="00C524C5"/>
    <w:rPr>
      <w:rFonts w:cs="Times New Roman"/>
      <w:sz w:val="20"/>
      <w:szCs w:val="20"/>
      <w:lang w:eastAsia="en-US"/>
    </w:rPr>
  </w:style>
  <w:style w:type="paragraph" w:styleId="aa">
    <w:name w:val="annotation subject"/>
    <w:basedOn w:val="a9"/>
    <w:next w:val="a9"/>
    <w:link w:val="Char3"/>
    <w:uiPriority w:val="99"/>
    <w:semiHidden/>
    <w:rsid w:val="007909CC"/>
    <w:rPr>
      <w:b/>
      <w:bCs/>
    </w:rPr>
  </w:style>
  <w:style w:type="character" w:customStyle="1" w:styleId="Char3">
    <w:name w:val="Θέμα σχολίου Char"/>
    <w:basedOn w:val="Char2"/>
    <w:link w:val="aa"/>
    <w:uiPriority w:val="99"/>
    <w:semiHidden/>
    <w:locked/>
    <w:rsid w:val="00C524C5"/>
    <w:rPr>
      <w:rFonts w:cs="Times New Roman"/>
      <w:b/>
      <w:bCs/>
      <w:sz w:val="20"/>
      <w:szCs w:val="20"/>
      <w:lang w:eastAsia="en-US"/>
    </w:rPr>
  </w:style>
  <w:style w:type="character" w:customStyle="1" w:styleId="Char">
    <w:name w:val="Παράγραφος λίστας Char"/>
    <w:link w:val="a3"/>
    <w:locked/>
    <w:rsid w:val="00DA3CAE"/>
    <w:rPr>
      <w:lang w:eastAsia="en-US"/>
    </w:rPr>
  </w:style>
  <w:style w:type="paragraph" w:styleId="ab">
    <w:name w:val="header"/>
    <w:basedOn w:val="a"/>
    <w:link w:val="Char4"/>
    <w:uiPriority w:val="99"/>
    <w:unhideWhenUsed/>
    <w:rsid w:val="00453CE2"/>
    <w:pPr>
      <w:tabs>
        <w:tab w:val="center" w:pos="4153"/>
        <w:tab w:val="right" w:pos="8306"/>
      </w:tabs>
      <w:spacing w:after="0" w:line="240" w:lineRule="auto"/>
    </w:pPr>
  </w:style>
  <w:style w:type="character" w:customStyle="1" w:styleId="Char4">
    <w:name w:val="Κεφαλίδα Char"/>
    <w:basedOn w:val="a0"/>
    <w:link w:val="ab"/>
    <w:uiPriority w:val="99"/>
    <w:rsid w:val="00453CE2"/>
    <w:rPr>
      <w:lang w:eastAsia="en-US"/>
    </w:rPr>
  </w:style>
  <w:style w:type="paragraph" w:styleId="ac">
    <w:name w:val="footer"/>
    <w:basedOn w:val="a"/>
    <w:link w:val="Char5"/>
    <w:uiPriority w:val="99"/>
    <w:unhideWhenUsed/>
    <w:rsid w:val="00453CE2"/>
    <w:pPr>
      <w:tabs>
        <w:tab w:val="center" w:pos="4153"/>
        <w:tab w:val="right" w:pos="8306"/>
      </w:tabs>
      <w:spacing w:after="0" w:line="240" w:lineRule="auto"/>
    </w:pPr>
  </w:style>
  <w:style w:type="character" w:customStyle="1" w:styleId="Char5">
    <w:name w:val="Υποσέλιδο Char"/>
    <w:basedOn w:val="a0"/>
    <w:link w:val="ac"/>
    <w:uiPriority w:val="99"/>
    <w:rsid w:val="00453C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238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11308</Characters>
  <Application>Microsoft Office Word</Application>
  <DocSecurity>0</DocSecurity>
  <Lines>94</Lines>
  <Paragraphs>26</Paragraphs>
  <ScaleCrop>false</ScaleCrop>
  <HeadingPairs>
    <vt:vector size="6" baseType="variant">
      <vt:variant>
        <vt:lpstr>Τίτλος</vt:lpstr>
      </vt:variant>
      <vt:variant>
        <vt:i4>1</vt:i4>
      </vt:variant>
      <vt:variant>
        <vt:lpstr>Επικεφαλίδες</vt:lpstr>
      </vt:variant>
      <vt:variant>
        <vt:i4>4</vt:i4>
      </vt:variant>
      <vt:variant>
        <vt:lpstr>Title</vt:lpstr>
      </vt:variant>
      <vt:variant>
        <vt:i4>1</vt:i4>
      </vt:variant>
    </vt:vector>
  </HeadingPairs>
  <TitlesOfParts>
    <vt:vector size="6" baseType="lpstr">
      <vt:lpstr/>
      <vt:lpstr>ΕΝΗΜΕΡΩΤΙΚΟ ΣΗΜΕΙΩΜΑ</vt:lpstr>
      <vt:lpstr>ΑΠΛΟΠΟΙΗΣΗ ΑΔΕΙΟΔΟΤΗΣΗΣ ΝΕΟ ΘΕΣΜΙΚΟ ΠΛΑΙΣΙΟ ΑΣΚΗΣΗΣ ΟΙΚΟΝΟΜΙΚΗΣ ΔΡΑΣΤΗΡΙΟΤΗΤΑΣ</vt:lpstr>
      <vt:lpstr>Οι βασικές αλλαγές στο νέο θεσμικό πλαίσιο </vt:lpstr>
      <vt:lpstr>για την άσκηση οικονομικής δραστηριότητας</vt:lpstr>
      <vt:lpstr/>
    </vt:vector>
  </TitlesOfParts>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2016-11-30T16:04:00Z</dcterms:created>
  <dcterms:modified xsi:type="dcterms:W3CDTF">2016-11-30T16:04:00Z</dcterms:modified>
</cp:coreProperties>
</file>