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D9" w:rsidRDefault="008C62D9" w:rsidP="00E93F66">
      <w:pPr>
        <w:jc w:val="center"/>
        <w:rPr>
          <w:b/>
          <w:bCs/>
        </w:rPr>
      </w:pPr>
      <w:r>
        <w:rPr>
          <w:b/>
          <w:bCs/>
        </w:rPr>
        <w:t>ΕΝΗΜΕΡΩΤΙΚΟ ΣΗΜΕΙΩΜΑ</w:t>
      </w:r>
    </w:p>
    <w:p w:rsidR="00B11C26" w:rsidRPr="0088495F" w:rsidRDefault="00E93F66" w:rsidP="00E93F66">
      <w:pPr>
        <w:jc w:val="center"/>
        <w:rPr>
          <w:b/>
          <w:bCs/>
        </w:rPr>
      </w:pPr>
      <w:r w:rsidRPr="0088495F">
        <w:rPr>
          <w:b/>
          <w:bCs/>
        </w:rPr>
        <w:t xml:space="preserve">Εκταμίευση της χρηματοδότησης προς τους Προμηθευτές των Δικαιούχων,  χωρίς την κατάθεση εγγύησης προκαταβολής μέσω Ανοιχτού </w:t>
      </w:r>
      <w:proofErr w:type="spellStart"/>
      <w:r w:rsidRPr="0088495F">
        <w:rPr>
          <w:b/>
          <w:bCs/>
        </w:rPr>
        <w:t>Καταπιστευτικού</w:t>
      </w:r>
      <w:proofErr w:type="spellEnd"/>
      <w:r w:rsidRPr="0088495F">
        <w:rPr>
          <w:b/>
          <w:bCs/>
        </w:rPr>
        <w:t xml:space="preserve"> Λογαριασμού, («</w:t>
      </w:r>
      <w:proofErr w:type="spellStart"/>
      <w:r w:rsidRPr="0088495F">
        <w:rPr>
          <w:b/>
          <w:bCs/>
        </w:rPr>
        <w:t>Escrow</w:t>
      </w:r>
      <w:proofErr w:type="spellEnd"/>
      <w:r w:rsidRPr="0088495F">
        <w:rPr>
          <w:b/>
          <w:bCs/>
        </w:rPr>
        <w:t xml:space="preserve"> </w:t>
      </w:r>
      <w:proofErr w:type="spellStart"/>
      <w:r w:rsidRPr="0088495F">
        <w:rPr>
          <w:b/>
          <w:bCs/>
        </w:rPr>
        <w:t>Account</w:t>
      </w:r>
      <w:proofErr w:type="spellEnd"/>
      <w:r w:rsidRPr="0088495F">
        <w:rPr>
          <w:b/>
          <w:bCs/>
        </w:rPr>
        <w:t>»)</w:t>
      </w:r>
    </w:p>
    <w:p w:rsidR="00B16DF8" w:rsidRDefault="003E2D74" w:rsidP="005F2FD4">
      <w:pPr>
        <w:jc w:val="both"/>
      </w:pPr>
      <w:r>
        <w:t xml:space="preserve">Η </w:t>
      </w:r>
      <w:r w:rsidR="00E93F66">
        <w:t>σύσταση του</w:t>
      </w:r>
      <w:r w:rsidR="00E93F66" w:rsidRPr="00E93F66">
        <w:rPr>
          <w:b/>
          <w:bCs/>
          <w:u w:val="single"/>
        </w:rPr>
        <w:t xml:space="preserve"> </w:t>
      </w:r>
      <w:r w:rsidR="00E93F66" w:rsidRPr="00E93F66">
        <w:rPr>
          <w:bCs/>
        </w:rPr>
        <w:t>Ανοιχτού Κατ</w:t>
      </w:r>
      <w:bookmarkStart w:id="0" w:name="_GoBack"/>
      <w:bookmarkEnd w:id="0"/>
      <w:r w:rsidR="00E93F66" w:rsidRPr="00E93F66">
        <w:rPr>
          <w:bCs/>
        </w:rPr>
        <w:t>απιστευτικού Λογαριασμού</w:t>
      </w:r>
      <w:r w:rsidR="00E93F66">
        <w:t xml:space="preserve">  </w:t>
      </w:r>
      <w:r w:rsidR="005F2FD4">
        <w:t xml:space="preserve">στο Ταμείο Παρακαταθηκών και Δανείων </w:t>
      </w:r>
      <w:r w:rsidR="00E93F66">
        <w:t>σχεδιάστηκε με σκοπό την ε</w:t>
      </w:r>
      <w:r w:rsidR="00FE5449" w:rsidRPr="00E93F66">
        <w:t xml:space="preserve">νίσχυση της ρευστότητας της αγοράς και </w:t>
      </w:r>
      <w:r w:rsidR="00E93F66">
        <w:t>τ</w:t>
      </w:r>
      <w:r w:rsidR="00FE5449" w:rsidRPr="00E93F66">
        <w:t xml:space="preserve">η διευκόλυνση των </w:t>
      </w:r>
      <w:r>
        <w:t>δ</w:t>
      </w:r>
      <w:r w:rsidR="00FE5449" w:rsidRPr="00E93F66">
        <w:t>ικαιούχων.</w:t>
      </w:r>
      <w:r w:rsidR="00C044BC" w:rsidRPr="00C044BC">
        <w:rPr>
          <w:rFonts w:eastAsiaTheme="minorEastAsia" w:hAnsi="Calibri"/>
          <w:b/>
          <w:bCs/>
          <w:color w:val="1F497D" w:themeColor="text2"/>
          <w:kern w:val="24"/>
          <w:sz w:val="32"/>
          <w:szCs w:val="32"/>
          <w:lang w:eastAsia="el-GR"/>
        </w:rPr>
        <w:t xml:space="preserve"> </w:t>
      </w:r>
      <w:r w:rsidR="00FE5449" w:rsidRPr="005F2FD4">
        <w:t>Οι όροι, οι προϋποθέσεις και κάθε αναγκαία λεπτομέρεια για την  σύσταση του Λογαριασμού</w:t>
      </w:r>
      <w:r w:rsidR="00FE5449" w:rsidRPr="00C044BC">
        <w:t xml:space="preserve"> στο Ταμείο ορίστηκαν με την με αριθμό 62550/2016 </w:t>
      </w:r>
      <w:r w:rsidR="00FE5449" w:rsidRPr="005F2FD4">
        <w:rPr>
          <w:bCs/>
        </w:rPr>
        <w:t>Απόφαση</w:t>
      </w:r>
      <w:r w:rsidR="00FE5449" w:rsidRPr="00C044BC">
        <w:t xml:space="preserve"> του Υφυπουργού Οικονομίας, Ανάπτυξης και Τουρισμού </w:t>
      </w:r>
      <w:r w:rsidR="005F2FD4">
        <w:t>(ΦΕΚ Β 1738)</w:t>
      </w:r>
      <w:r w:rsidR="00B16DF8">
        <w:t>.</w:t>
      </w:r>
      <w:r w:rsidR="004C326E">
        <w:t xml:space="preserve"> Η σημερινή υπογραφή σύμβασης με το Ταμείο Παρακαταθηκών και Δανείων ενεργοποιεί το νέο αυτό εργαλείο.</w:t>
      </w:r>
    </w:p>
    <w:p w:rsidR="00D239E5" w:rsidRPr="00025173" w:rsidRDefault="004C326E" w:rsidP="005F2FD4">
      <w:pPr>
        <w:jc w:val="both"/>
        <w:rPr>
          <w:bCs/>
        </w:rPr>
      </w:pPr>
      <w:r w:rsidRPr="00025173">
        <w:rPr>
          <w:bCs/>
        </w:rPr>
        <w:t xml:space="preserve">Η λειτουργία </w:t>
      </w:r>
      <w:r w:rsidR="00FE5449" w:rsidRPr="00025173">
        <w:rPr>
          <w:bCs/>
        </w:rPr>
        <w:t xml:space="preserve">του Λογαριασμού </w:t>
      </w:r>
      <w:r w:rsidR="00FE2C96" w:rsidRPr="00025173">
        <w:rPr>
          <w:bCs/>
        </w:rPr>
        <w:t xml:space="preserve">ξεκινά με </w:t>
      </w:r>
      <w:r w:rsidR="00B16DF8" w:rsidRPr="00025173">
        <w:rPr>
          <w:bCs/>
        </w:rPr>
        <w:t xml:space="preserve">την υπογραφή της σχετικής σύμβασης η οποία αναμένεται </w:t>
      </w:r>
      <w:r w:rsidR="00FE5449" w:rsidRPr="00025173">
        <w:rPr>
          <w:bCs/>
        </w:rPr>
        <w:t>άμεσα με τους υπαχθέντες στις τέσσερις (4) δράσεις επιχειρηματικότητας του Επιχειρησιακού Προγράμματος Ανταγωνιστικότητα Επιχειρ</w:t>
      </w:r>
      <w:r w:rsidR="005F2FD4" w:rsidRPr="00025173">
        <w:rPr>
          <w:bCs/>
        </w:rPr>
        <w:t>ηματικότητα Καινοτομία (ΕΠΑνΕΚ)</w:t>
      </w:r>
      <w:r w:rsidR="00FE5449" w:rsidRPr="00025173">
        <w:t xml:space="preserve">. Προς τον σκοπό αυτό θα </w:t>
      </w:r>
      <w:r w:rsidR="00FE5449" w:rsidRPr="00025173">
        <w:rPr>
          <w:bCs/>
        </w:rPr>
        <w:t xml:space="preserve">δημιουργηθούν 4 λογαριασμοί </w:t>
      </w:r>
      <w:proofErr w:type="spellStart"/>
      <w:r w:rsidR="00FE5449" w:rsidRPr="00025173">
        <w:rPr>
          <w:bCs/>
        </w:rPr>
        <w:t>escrow</w:t>
      </w:r>
      <w:proofErr w:type="spellEnd"/>
      <w:r w:rsidR="00FE5449" w:rsidRPr="00025173">
        <w:rPr>
          <w:bCs/>
        </w:rPr>
        <w:t xml:space="preserve"> / ένας για κάθε δράση.</w:t>
      </w:r>
    </w:p>
    <w:p w:rsidR="00FE5449" w:rsidRPr="00FE5449" w:rsidRDefault="00FE5449" w:rsidP="00FE5449">
      <w:pPr>
        <w:jc w:val="both"/>
        <w:rPr>
          <w:b/>
          <w:bCs/>
        </w:rPr>
      </w:pPr>
      <w:r w:rsidRPr="00FE5449">
        <w:rPr>
          <w:b/>
          <w:bCs/>
        </w:rPr>
        <w:t>Πώς ανοίγει ο Λογαριασμός για τον Δικαιούχο</w:t>
      </w:r>
      <w:r w:rsidR="003E2D74">
        <w:rPr>
          <w:b/>
          <w:bCs/>
        </w:rPr>
        <w:t>;</w:t>
      </w:r>
    </w:p>
    <w:p w:rsidR="00D239E5" w:rsidRPr="00FE5449" w:rsidRDefault="00FE5449" w:rsidP="00FE5449">
      <w:pPr>
        <w:jc w:val="both"/>
        <w:rPr>
          <w:bCs/>
        </w:rPr>
      </w:pPr>
      <w:r w:rsidRPr="00FE5449">
        <w:rPr>
          <w:bCs/>
        </w:rPr>
        <w:t xml:space="preserve">Η χρήση του </w:t>
      </w:r>
      <w:proofErr w:type="spellStart"/>
      <w:r w:rsidRPr="00FE5449">
        <w:rPr>
          <w:bCs/>
        </w:rPr>
        <w:t>escrow</w:t>
      </w:r>
      <w:proofErr w:type="spellEnd"/>
      <w:r w:rsidRPr="00FE5449">
        <w:rPr>
          <w:bCs/>
        </w:rPr>
        <w:t xml:space="preserve"> </w:t>
      </w:r>
      <w:proofErr w:type="spellStart"/>
      <w:r w:rsidRPr="00FE5449">
        <w:rPr>
          <w:bCs/>
        </w:rPr>
        <w:t>account</w:t>
      </w:r>
      <w:proofErr w:type="spellEnd"/>
      <w:r w:rsidRPr="00FE5449">
        <w:rPr>
          <w:bCs/>
        </w:rPr>
        <w:t xml:space="preserve"> από τους Δικαιούχους κρατικών ε</w:t>
      </w:r>
      <w:r>
        <w:rPr>
          <w:bCs/>
        </w:rPr>
        <w:t xml:space="preserve">νισχύσεων δεν είναι υποχρεωτική. </w:t>
      </w:r>
      <w:r w:rsidRPr="00FE5449">
        <w:rPr>
          <w:bCs/>
        </w:rPr>
        <w:t xml:space="preserve"> Ο κάθε Δικαιούχος, δύναται είτε να αξιοποιήσει τον Ανοιχτό </w:t>
      </w:r>
      <w:proofErr w:type="spellStart"/>
      <w:r w:rsidRPr="00FE5449">
        <w:rPr>
          <w:bCs/>
        </w:rPr>
        <w:t>Καταπιστευτικό</w:t>
      </w:r>
      <w:proofErr w:type="spellEnd"/>
      <w:r w:rsidRPr="00FE5449">
        <w:rPr>
          <w:bCs/>
        </w:rPr>
        <w:t xml:space="preserve"> Λογαριασμό, είτε να ακολουθήσει την παραδοσιακή διαδικασία λήψης της προκαταβολής ή και καταβολής της επιχορήγησης.</w:t>
      </w:r>
    </w:p>
    <w:p w:rsidR="00D239E5" w:rsidRDefault="00FE5449" w:rsidP="00FE5449">
      <w:pPr>
        <w:jc w:val="both"/>
        <w:rPr>
          <w:bCs/>
        </w:rPr>
      </w:pPr>
      <w:r w:rsidRPr="00FE5449">
        <w:rPr>
          <w:bCs/>
        </w:rPr>
        <w:t xml:space="preserve">Με την υπογραφή της εγκριτικής απόφασης υπαγωγής ενός Δικαιούχου σε χρηματοδοτικό πρόγραμμα, ενεργοποιούνται και οι διαδικασίες χρήσης του </w:t>
      </w:r>
      <w:proofErr w:type="spellStart"/>
      <w:r w:rsidRPr="00FE5449">
        <w:rPr>
          <w:bCs/>
        </w:rPr>
        <w:t>escrow</w:t>
      </w:r>
      <w:proofErr w:type="spellEnd"/>
      <w:r w:rsidRPr="00FE5449">
        <w:rPr>
          <w:bCs/>
        </w:rPr>
        <w:t xml:space="preserve"> </w:t>
      </w:r>
      <w:proofErr w:type="spellStart"/>
      <w:r w:rsidRPr="00FE5449">
        <w:rPr>
          <w:bCs/>
        </w:rPr>
        <w:t>account</w:t>
      </w:r>
      <w:proofErr w:type="spellEnd"/>
      <w:r w:rsidRPr="00FE5449">
        <w:rPr>
          <w:bCs/>
        </w:rPr>
        <w:t xml:space="preserve">. Ειδικότερα, μετά από αίτημα του επενδυτή/Δικαιούχου στο οποίο θα δηλώνει την βούλησή του για χρήση του </w:t>
      </w:r>
      <w:r w:rsidRPr="00FE5449">
        <w:rPr>
          <w:bCs/>
          <w:lang w:val="en-US"/>
        </w:rPr>
        <w:t>escrow</w:t>
      </w:r>
      <w:r w:rsidRPr="00FE5449">
        <w:rPr>
          <w:bCs/>
        </w:rPr>
        <w:t xml:space="preserve">, και την δήλωση προσχώρησης στην σύμβαση, δημιουργείται στον </w:t>
      </w:r>
      <w:r w:rsidRPr="00FE5449">
        <w:rPr>
          <w:bCs/>
          <w:lang w:val="en-US"/>
        </w:rPr>
        <w:t>escrow</w:t>
      </w:r>
      <w:r w:rsidRPr="00FE5449">
        <w:rPr>
          <w:bCs/>
        </w:rPr>
        <w:t xml:space="preserve"> </w:t>
      </w:r>
      <w:r w:rsidRPr="00FE5449">
        <w:rPr>
          <w:bCs/>
          <w:lang w:val="en-US"/>
        </w:rPr>
        <w:t>account</w:t>
      </w:r>
      <w:r w:rsidRPr="00FE5449">
        <w:rPr>
          <w:bCs/>
        </w:rPr>
        <w:t xml:space="preserve">, που αφορά την δράση στην οποία έχει ενταχθεί, </w:t>
      </w:r>
      <w:proofErr w:type="spellStart"/>
      <w:r w:rsidRPr="00FE5449">
        <w:rPr>
          <w:bCs/>
        </w:rPr>
        <w:t>υπο</w:t>
      </w:r>
      <w:proofErr w:type="spellEnd"/>
      <w:r w:rsidRPr="00FE5449">
        <w:rPr>
          <w:bCs/>
        </w:rPr>
        <w:t xml:space="preserve"> -λογαριασμός/</w:t>
      </w:r>
      <w:proofErr w:type="spellStart"/>
      <w:r w:rsidRPr="00FE5449">
        <w:rPr>
          <w:bCs/>
        </w:rPr>
        <w:t>μερίδ</w:t>
      </w:r>
      <w:proofErr w:type="spellEnd"/>
      <w:r w:rsidRPr="00FE5449">
        <w:rPr>
          <w:bCs/>
        </w:rPr>
        <w:t xml:space="preserve">α στο όνομά του. </w:t>
      </w:r>
    </w:p>
    <w:p w:rsidR="00FE5449" w:rsidRPr="00FE5449" w:rsidRDefault="00FE5449" w:rsidP="00FE5449">
      <w:pPr>
        <w:jc w:val="both"/>
        <w:rPr>
          <w:b/>
          <w:bCs/>
        </w:rPr>
      </w:pPr>
      <w:r w:rsidRPr="00FE5449">
        <w:rPr>
          <w:b/>
          <w:bCs/>
        </w:rPr>
        <w:t xml:space="preserve">Πώς θα γίνεται η εκταμίευση της χρηματοδότησης  στην περίπτωση του </w:t>
      </w:r>
      <w:r w:rsidRPr="00FE5449">
        <w:rPr>
          <w:b/>
          <w:bCs/>
          <w:lang w:val="en-US"/>
        </w:rPr>
        <w:t>escrow</w:t>
      </w:r>
      <w:r w:rsidRPr="00FE5449">
        <w:rPr>
          <w:b/>
          <w:bCs/>
        </w:rPr>
        <w:t xml:space="preserve"> </w:t>
      </w:r>
      <w:r w:rsidRPr="00FE5449">
        <w:rPr>
          <w:b/>
          <w:bCs/>
          <w:lang w:val="en-US"/>
        </w:rPr>
        <w:t>account</w:t>
      </w:r>
      <w:r w:rsidR="003E2D74">
        <w:rPr>
          <w:b/>
          <w:bCs/>
        </w:rPr>
        <w:t>;</w:t>
      </w:r>
    </w:p>
    <w:p w:rsidR="00D239E5" w:rsidRPr="00FE5449" w:rsidRDefault="00FE5449" w:rsidP="00FE5449">
      <w:pPr>
        <w:jc w:val="both"/>
        <w:rPr>
          <w:bCs/>
        </w:rPr>
      </w:pPr>
      <w:r w:rsidRPr="00FE5449">
        <w:rPr>
          <w:bCs/>
        </w:rPr>
        <w:t xml:space="preserve">Για την αποδέσμευση της χρηματοδότησης, ο δικαιούχος, αφού πρώτα έχει ολοκληρώσει ένα μέρος του επενδυτικού σχεδίου (καθορίζεται από τον εκάστοτε Οδηγό Εφαρμογής του χρηματοδοτικού προγράμματος) θα πρέπει να υποβάλλει στο Πληροφοριακό Σύστημα Κρατικών Ενισχύσεων (ΠΣΚΕ) αίτημα επαλήθευσης - καταβολής των δαπανών του, συνυποβάλλοντας τα μερικώς εξοφλημένα τιμολόγια και τυχόν ποσοστό ιδιωτικής συμμετοχής. Το μη εξοφλημένο ποσό των τιμολογίων, θα καταβληθεί στη συνέχεια από τον Ανοικτό </w:t>
      </w:r>
      <w:proofErr w:type="spellStart"/>
      <w:r w:rsidRPr="00FE5449">
        <w:rPr>
          <w:bCs/>
        </w:rPr>
        <w:t>Καταπιστευτικό</w:t>
      </w:r>
      <w:proofErr w:type="spellEnd"/>
      <w:r w:rsidRPr="00FE5449">
        <w:rPr>
          <w:bCs/>
        </w:rPr>
        <w:t xml:space="preserve"> Λογαριασμό.</w:t>
      </w:r>
    </w:p>
    <w:p w:rsidR="00D239E5" w:rsidRPr="00FE5449" w:rsidRDefault="00FE5449" w:rsidP="00FE5449">
      <w:pPr>
        <w:jc w:val="both"/>
        <w:rPr>
          <w:bCs/>
        </w:rPr>
      </w:pPr>
      <w:r w:rsidRPr="00FE5449">
        <w:rPr>
          <w:bCs/>
        </w:rPr>
        <w:t xml:space="preserve">Στις Δράσεις που το ύψος της επιδότησης ανέρχεται στο 100%, (Νεοφυής Επιχειρηματικότητα -Ενίσχυση της </w:t>
      </w:r>
      <w:proofErr w:type="spellStart"/>
      <w:r w:rsidRPr="00FE5449">
        <w:rPr>
          <w:bCs/>
        </w:rPr>
        <w:t>Αυτοαπασχόλησης</w:t>
      </w:r>
      <w:proofErr w:type="spellEnd"/>
      <w:r w:rsidRPr="00FE5449">
        <w:rPr>
          <w:bCs/>
        </w:rPr>
        <w:t xml:space="preserve"> Πτυχιούχων Τριτοβάθμιας Εκπαίδευσης τα τιμολόγια θα είναι μερικώς εξοφλημένα ως προς την μη επιλέξιμη δαπάνη </w:t>
      </w:r>
      <w:r w:rsidRPr="00FE5449">
        <w:rPr>
          <w:bCs/>
        </w:rPr>
        <w:lastRenderedPageBreak/>
        <w:t>(</w:t>
      </w:r>
      <w:proofErr w:type="spellStart"/>
      <w:r w:rsidRPr="00FE5449">
        <w:rPr>
          <w:bCs/>
        </w:rPr>
        <w:t>π.χ</w:t>
      </w:r>
      <w:proofErr w:type="spellEnd"/>
      <w:r w:rsidRPr="00FE5449">
        <w:rPr>
          <w:bCs/>
        </w:rPr>
        <w:t xml:space="preserve"> ΦΠΑ). Σε κάθε περίπτωση, ο δικαιούχος θα πρέπει να έχει ασφαλιστική και φορολογική ενημερότητα.</w:t>
      </w:r>
    </w:p>
    <w:p w:rsidR="00D239E5" w:rsidRPr="00FE5449" w:rsidRDefault="00FE5449" w:rsidP="00FE5449">
      <w:pPr>
        <w:jc w:val="both"/>
        <w:rPr>
          <w:bCs/>
        </w:rPr>
      </w:pPr>
      <w:r w:rsidRPr="00FE5449">
        <w:rPr>
          <w:bCs/>
        </w:rPr>
        <w:t xml:space="preserve">Μετά από έλεγχο των προσκομισθέντων δικαιολογητικών από τον  </w:t>
      </w:r>
      <w:r>
        <w:rPr>
          <w:bCs/>
        </w:rPr>
        <w:t>Ενδιάμεσο Φορέα Διαχείρισης -</w:t>
      </w:r>
      <w:r w:rsidRPr="00FE5449">
        <w:rPr>
          <w:bCs/>
        </w:rPr>
        <w:t xml:space="preserve">ΕΦΕΠΑΕ , δίνεται εντολή στο Ταμείο, να αποδεσμεύσει - εκταμιεύσει από το λογαριασμό του δικαιούχου συγκεκριμένο ποσό υπέρ κάθε </w:t>
      </w:r>
      <w:proofErr w:type="spellStart"/>
      <w:r w:rsidRPr="00FE5449">
        <w:rPr>
          <w:bCs/>
        </w:rPr>
        <w:t>παρόχου</w:t>
      </w:r>
      <w:proofErr w:type="spellEnd"/>
      <w:r w:rsidRPr="00FE5449">
        <w:rPr>
          <w:bCs/>
        </w:rPr>
        <w:t xml:space="preserve"> - προμηθευτή του δικαιούχου και για λογαριασμό του και μέχρι το ανώτατο ύψος της δημόσιας δαπάνης. Δηλαδή, τα χρήματα, δεν πάνε στον δικαιούχο,  αλλά απ' ευθείας στους προμηθευτές του.</w:t>
      </w:r>
    </w:p>
    <w:p w:rsidR="00D239E5" w:rsidRPr="00FE5449" w:rsidRDefault="00FE5449" w:rsidP="00FE5449">
      <w:pPr>
        <w:jc w:val="both"/>
        <w:rPr>
          <w:bCs/>
        </w:rPr>
      </w:pPr>
      <w:r w:rsidRPr="00FE5449">
        <w:rPr>
          <w:bCs/>
        </w:rPr>
        <w:t xml:space="preserve">Στη συνέχεια η εντολή αποστέλλεται σε ηλεκτρονική μορφή ψηφιακά υπογεγραμμένη από τον ΕΦΕΠΑΕ στο Ταμείο, που εκτελεί τις πληρωμές καταβάλλοντας άμεσα τα σχετικά ποσά στους λογαριασμούς, που τηρούν οι </w:t>
      </w:r>
      <w:proofErr w:type="spellStart"/>
      <w:r w:rsidRPr="00FE5449">
        <w:rPr>
          <w:bCs/>
        </w:rPr>
        <w:t>πάροχοι</w:t>
      </w:r>
      <w:proofErr w:type="spellEnd"/>
      <w:r w:rsidRPr="00FE5449">
        <w:rPr>
          <w:bCs/>
        </w:rPr>
        <w:t xml:space="preserve"> - προμηθευτές του δικαιούχου σε πιστωτικά ιδρύματα. </w:t>
      </w:r>
    </w:p>
    <w:p w:rsidR="00FE5449" w:rsidRPr="005F2FD4" w:rsidRDefault="00FE5449" w:rsidP="005F2FD4">
      <w:pPr>
        <w:jc w:val="both"/>
        <w:rPr>
          <w:bCs/>
        </w:rPr>
      </w:pPr>
    </w:p>
    <w:p w:rsidR="00D239E5" w:rsidRPr="005F2FD4" w:rsidRDefault="00D239E5" w:rsidP="005F2FD4">
      <w:pPr>
        <w:jc w:val="both"/>
      </w:pPr>
    </w:p>
    <w:p w:rsidR="005F2FD4" w:rsidRDefault="005F2FD4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  <w:r w:rsidRPr="00FE5449">
        <w:rPr>
          <w:noProof/>
          <w:lang w:eastAsia="el-GR"/>
        </w:rPr>
        <w:drawing>
          <wp:inline distT="0" distB="0" distL="0" distR="0">
            <wp:extent cx="5274310" cy="3840967"/>
            <wp:effectExtent l="0" t="0" r="2540" b="7620"/>
            <wp:docPr id="1026" name="Picture 2" descr="E:\SKMBT_C28016101211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SKMBT_C280161012115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09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Default="00FE5449" w:rsidP="005F2FD4">
      <w:pPr>
        <w:jc w:val="both"/>
      </w:pPr>
    </w:p>
    <w:p w:rsidR="00FE5449" w:rsidRPr="00C044BC" w:rsidRDefault="00FE5449" w:rsidP="005F2FD4">
      <w:pPr>
        <w:jc w:val="both"/>
      </w:pPr>
    </w:p>
    <w:p w:rsidR="00D239E5" w:rsidRPr="00E93F66" w:rsidRDefault="00D239E5" w:rsidP="00E93F66"/>
    <w:p w:rsidR="00E93F66" w:rsidRPr="00E93F66" w:rsidRDefault="00E93F66" w:rsidP="00E93F66">
      <w:pPr>
        <w:jc w:val="center"/>
      </w:pPr>
    </w:p>
    <w:sectPr w:rsidR="00E93F66" w:rsidRPr="00E93F66" w:rsidSect="00725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349"/>
    <w:multiLevelType w:val="hybridMultilevel"/>
    <w:tmpl w:val="106203BA"/>
    <w:lvl w:ilvl="0" w:tplc="78FE48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2B27E">
      <w:start w:val="57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012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49A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6DF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8EF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2A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E419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8B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F0543"/>
    <w:multiLevelType w:val="hybridMultilevel"/>
    <w:tmpl w:val="0FBAB79A"/>
    <w:lvl w:ilvl="0" w:tplc="3C584E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A53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83B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C6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A84B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B837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454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6CA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2EC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894169"/>
    <w:multiLevelType w:val="hybridMultilevel"/>
    <w:tmpl w:val="3F26F6D0"/>
    <w:lvl w:ilvl="0" w:tplc="5508AC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85F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E1C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2F6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20D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A1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698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0EE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22CB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53AA4"/>
    <w:multiLevelType w:val="hybridMultilevel"/>
    <w:tmpl w:val="E69ED6E6"/>
    <w:lvl w:ilvl="0" w:tplc="E026A1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29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CE2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CC9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6EE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E75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0A6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261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413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662675"/>
    <w:multiLevelType w:val="hybridMultilevel"/>
    <w:tmpl w:val="377619F2"/>
    <w:lvl w:ilvl="0" w:tplc="979E22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8BCD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473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C94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DA06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7245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C6D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A025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2FE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6454E4"/>
    <w:multiLevelType w:val="hybridMultilevel"/>
    <w:tmpl w:val="001A52E6"/>
    <w:lvl w:ilvl="0" w:tplc="B25016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8D8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5435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0A4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0D7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E9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E8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2FE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B247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B11D06"/>
    <w:multiLevelType w:val="hybridMultilevel"/>
    <w:tmpl w:val="5CA0D56C"/>
    <w:lvl w:ilvl="0" w:tplc="17764B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14D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61B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242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8EEB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6AD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A57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A02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EBB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66"/>
    <w:rsid w:val="00025173"/>
    <w:rsid w:val="00190AE7"/>
    <w:rsid w:val="003E2D74"/>
    <w:rsid w:val="004C326E"/>
    <w:rsid w:val="005F2FD4"/>
    <w:rsid w:val="00654029"/>
    <w:rsid w:val="0072518B"/>
    <w:rsid w:val="0088495F"/>
    <w:rsid w:val="008C62D9"/>
    <w:rsid w:val="00B11C26"/>
    <w:rsid w:val="00B16DF8"/>
    <w:rsid w:val="00BE2760"/>
    <w:rsid w:val="00C044BC"/>
    <w:rsid w:val="00D239E5"/>
    <w:rsid w:val="00E93F66"/>
    <w:rsid w:val="00F26030"/>
    <w:rsid w:val="00FC677C"/>
    <w:rsid w:val="00FE2C96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E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5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E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5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08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7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8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2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87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7D4800-9E02-4EAC-91E6-CF8C00BCC773}"/>
</file>

<file path=customXml/itemProps2.xml><?xml version="1.0" encoding="utf-8"?>
<ds:datastoreItem xmlns:ds="http://schemas.openxmlformats.org/officeDocument/2006/customXml" ds:itemID="{42C17B44-E2EC-42ED-AB67-33B48C541E61}"/>
</file>

<file path=customXml/itemProps3.xml><?xml version="1.0" encoding="utf-8"?>
<ds:datastoreItem xmlns:ds="http://schemas.openxmlformats.org/officeDocument/2006/customXml" ds:itemID="{040BA81A-ABF9-48DA-9214-9A9132E00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pournara</dc:creator>
  <cp:lastModifiedBy>Τσέλιου, Χριστίνα</cp:lastModifiedBy>
  <cp:revision>2</cp:revision>
  <dcterms:created xsi:type="dcterms:W3CDTF">2016-12-19T15:33:00Z</dcterms:created>
  <dcterms:modified xsi:type="dcterms:W3CDTF">2016-12-19T15:33:00Z</dcterms:modified>
</cp:coreProperties>
</file>